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8101" w14:textId="21FA2C24" w:rsidR="00420519" w:rsidRPr="005C6EB0" w:rsidRDefault="00420519" w:rsidP="00420519">
      <w:pPr>
        <w:jc w:val="center"/>
        <w:rPr>
          <w:rFonts w:ascii="Times New Roman" w:hAnsi="Times New Roman"/>
          <w:b/>
          <w:bCs/>
          <w:i/>
          <w:iCs/>
          <w:sz w:val="28"/>
          <w:szCs w:val="28"/>
          <w:lang w:val="en-US"/>
        </w:rPr>
      </w:pPr>
      <w:r w:rsidRPr="005C6EB0">
        <w:rPr>
          <w:rFonts w:ascii="Times New Roman" w:hAnsi="Times New Roman"/>
          <w:b/>
          <w:bCs/>
          <w:i/>
          <w:iCs/>
          <w:sz w:val="28"/>
          <w:szCs w:val="28"/>
          <w:lang w:val="en-US"/>
        </w:rPr>
        <w:t>Paper Outline</w:t>
      </w:r>
    </w:p>
    <w:p w14:paraId="57D67319" w14:textId="77777777" w:rsidR="00420519" w:rsidRPr="005C6EB0" w:rsidRDefault="00420519" w:rsidP="00420519">
      <w:pPr>
        <w:rPr>
          <w:rFonts w:ascii="Times New Roman" w:hAnsi="Times New Roman"/>
          <w:lang w:val="en-US"/>
        </w:rPr>
      </w:pPr>
    </w:p>
    <w:p w14:paraId="78581D8E" w14:textId="77777777" w:rsidR="00420519" w:rsidRPr="005C6EB0" w:rsidRDefault="00420519" w:rsidP="00420519">
      <w:pPr>
        <w:pStyle w:val="ListParagraph"/>
        <w:numPr>
          <w:ilvl w:val="0"/>
          <w:numId w:val="1"/>
        </w:numPr>
        <w:rPr>
          <w:rFonts w:ascii="Times New Roman" w:hAnsi="Times New Roman"/>
          <w:lang w:val="en-US"/>
        </w:rPr>
      </w:pPr>
      <w:r w:rsidRPr="005C6EB0">
        <w:rPr>
          <w:rFonts w:ascii="Times New Roman" w:hAnsi="Times New Roman"/>
          <w:lang w:val="en-US"/>
        </w:rPr>
        <w:t>Introduction</w:t>
      </w:r>
    </w:p>
    <w:p w14:paraId="18E8D43E" w14:textId="77777777" w:rsidR="00420519" w:rsidRPr="005C6EB0" w:rsidRDefault="00420519" w:rsidP="00420519">
      <w:pPr>
        <w:pStyle w:val="ListParagraph"/>
        <w:numPr>
          <w:ilvl w:val="1"/>
          <w:numId w:val="1"/>
        </w:numPr>
        <w:rPr>
          <w:rFonts w:ascii="Times New Roman" w:hAnsi="Times New Roman"/>
          <w:lang w:val="en-US"/>
        </w:rPr>
      </w:pPr>
      <w:r w:rsidRPr="005C6EB0">
        <w:rPr>
          <w:rFonts w:ascii="Times New Roman" w:hAnsi="Times New Roman"/>
          <w:lang w:val="en-US"/>
        </w:rPr>
        <w:t>Statement of the problem: Lack of clarity on corporate purpose definitions</w:t>
      </w:r>
    </w:p>
    <w:p w14:paraId="073DB453" w14:textId="77777777" w:rsidR="005C6EB0" w:rsidRDefault="00420519" w:rsidP="005C6EB0">
      <w:pPr>
        <w:pStyle w:val="ListParagraph"/>
        <w:numPr>
          <w:ilvl w:val="2"/>
          <w:numId w:val="1"/>
        </w:numPr>
        <w:ind w:left="2880" w:hanging="900"/>
        <w:rPr>
          <w:rFonts w:ascii="Times New Roman" w:hAnsi="Times New Roman"/>
          <w:lang w:val="en-US"/>
        </w:rPr>
      </w:pPr>
      <w:r w:rsidRPr="005C6EB0">
        <w:rPr>
          <w:rFonts w:ascii="Times New Roman" w:hAnsi="Times New Roman"/>
          <w:lang w:val="en-US"/>
        </w:rPr>
        <w:t>Historical Evolution of Corporate Purpose, where purpose was specifically defined in the</w:t>
      </w:r>
      <w:r w:rsidR="00BB0749" w:rsidRPr="005C6EB0">
        <w:rPr>
          <w:rFonts w:ascii="Times New Roman" w:hAnsi="Times New Roman"/>
          <w:lang w:val="en-US"/>
        </w:rPr>
        <w:t xml:space="preserve"> corporate</w:t>
      </w:r>
      <w:r w:rsidRPr="005C6EB0">
        <w:rPr>
          <w:rFonts w:ascii="Times New Roman" w:hAnsi="Times New Roman"/>
          <w:lang w:val="en-US"/>
        </w:rPr>
        <w:t xml:space="preserve"> charter</w:t>
      </w:r>
      <w:r w:rsidR="00BB0749" w:rsidRPr="005C6EB0">
        <w:rPr>
          <w:rFonts w:ascii="Times New Roman" w:hAnsi="Times New Roman"/>
          <w:lang w:val="en-US"/>
        </w:rPr>
        <w:t>.</w:t>
      </w:r>
    </w:p>
    <w:p w14:paraId="072D04A7" w14:textId="77777777" w:rsidR="005C6EB0" w:rsidRDefault="00420519" w:rsidP="005C6EB0">
      <w:pPr>
        <w:pStyle w:val="ListParagraph"/>
        <w:numPr>
          <w:ilvl w:val="4"/>
          <w:numId w:val="1"/>
        </w:numPr>
        <w:rPr>
          <w:rFonts w:ascii="Times New Roman" w:hAnsi="Times New Roman"/>
          <w:lang w:val="en-US"/>
        </w:rPr>
      </w:pPr>
      <w:r w:rsidRPr="005C6EB0">
        <w:rPr>
          <w:rFonts w:ascii="Times New Roman" w:hAnsi="Times New Roman"/>
          <w:lang w:val="en-US"/>
        </w:rPr>
        <w:t>Early history of corporations: Roman and Middle Ages periods</w:t>
      </w:r>
    </w:p>
    <w:p w14:paraId="7EDC1AFF" w14:textId="77777777" w:rsidR="005C6EB0" w:rsidRDefault="00420519" w:rsidP="005C6EB0">
      <w:pPr>
        <w:pStyle w:val="ListParagraph"/>
        <w:numPr>
          <w:ilvl w:val="4"/>
          <w:numId w:val="1"/>
        </w:numPr>
        <w:rPr>
          <w:rFonts w:ascii="Times New Roman" w:hAnsi="Times New Roman"/>
          <w:lang w:val="en-US"/>
        </w:rPr>
      </w:pPr>
      <w:r w:rsidRPr="005C6EB0">
        <w:rPr>
          <w:rFonts w:ascii="Times New Roman" w:hAnsi="Times New Roman"/>
          <w:lang w:val="en-US"/>
        </w:rPr>
        <w:t>Emergence of profit-driven corporations in the 17th century</w:t>
      </w:r>
    </w:p>
    <w:p w14:paraId="421A7FE9" w14:textId="488058D1" w:rsidR="00420519" w:rsidRPr="005C6EB0" w:rsidRDefault="00420519" w:rsidP="005C6EB0">
      <w:pPr>
        <w:pStyle w:val="ListParagraph"/>
        <w:numPr>
          <w:ilvl w:val="4"/>
          <w:numId w:val="1"/>
        </w:numPr>
        <w:rPr>
          <w:rFonts w:ascii="Times New Roman" w:hAnsi="Times New Roman"/>
          <w:lang w:val="en-US"/>
        </w:rPr>
      </w:pPr>
      <w:r w:rsidRPr="005C6EB0">
        <w:rPr>
          <w:rFonts w:ascii="Times New Roman" w:hAnsi="Times New Roman"/>
          <w:lang w:val="en-US"/>
        </w:rPr>
        <w:t>English and American precedents for corporate purpose</w:t>
      </w:r>
    </w:p>
    <w:p w14:paraId="7562E93D" w14:textId="334DB8E5" w:rsidR="00420519" w:rsidRPr="005C6EB0" w:rsidRDefault="005C6EB0" w:rsidP="00420519">
      <w:pPr>
        <w:pStyle w:val="ListParagraph"/>
        <w:numPr>
          <w:ilvl w:val="2"/>
          <w:numId w:val="1"/>
        </w:numPr>
        <w:rPr>
          <w:rFonts w:ascii="Times New Roman" w:hAnsi="Times New Roman"/>
          <w:lang w:val="en-US"/>
        </w:rPr>
      </w:pPr>
      <w:r w:rsidRPr="005C6EB0">
        <w:rPr>
          <w:rFonts w:ascii="Times New Roman" w:hAnsi="Times New Roman"/>
          <w:lang w:val="en-US"/>
        </w:rPr>
        <w:t>Today, we can</w:t>
      </w:r>
      <w:r w:rsidR="00420519" w:rsidRPr="005C6EB0">
        <w:rPr>
          <w:rFonts w:ascii="Times New Roman" w:hAnsi="Times New Roman"/>
          <w:lang w:val="en-US"/>
        </w:rPr>
        <w:t xml:space="preserve"> look at the charter for evidence, but Fisch &amp; Solomon (2021) point out that most charters nowadays do not state anything </w:t>
      </w:r>
      <w:r w:rsidR="00BB0749" w:rsidRPr="005C6EB0">
        <w:rPr>
          <w:rFonts w:ascii="Times New Roman" w:hAnsi="Times New Roman"/>
          <w:lang w:val="en-US"/>
        </w:rPr>
        <w:t>specific but</w:t>
      </w:r>
      <w:r w:rsidR="00420519" w:rsidRPr="005C6EB0">
        <w:rPr>
          <w:rFonts w:ascii="Times New Roman" w:hAnsi="Times New Roman"/>
          <w:lang w:val="en-US"/>
        </w:rPr>
        <w:t xml:space="preserve"> have rather broad terms on how the corporation intends to</w:t>
      </w:r>
      <w:r w:rsidR="00BB0749" w:rsidRPr="005C6EB0">
        <w:rPr>
          <w:rFonts w:ascii="Times New Roman" w:hAnsi="Times New Roman"/>
          <w:lang w:val="en-US"/>
        </w:rPr>
        <w:t xml:space="preserve"> fulfill its purpose: to</w:t>
      </w:r>
      <w:r w:rsidR="00420519" w:rsidRPr="005C6EB0">
        <w:rPr>
          <w:rFonts w:ascii="Times New Roman" w:hAnsi="Times New Roman"/>
          <w:lang w:val="en-US"/>
        </w:rPr>
        <w:t xml:space="preserve"> </w:t>
      </w:r>
      <w:proofErr w:type="gramStart"/>
      <w:r w:rsidR="00420519" w:rsidRPr="005C6EB0">
        <w:rPr>
          <w:rFonts w:ascii="Times New Roman" w:hAnsi="Times New Roman"/>
          <w:lang w:val="en-US"/>
        </w:rPr>
        <w:t>be in compliance with</w:t>
      </w:r>
      <w:proofErr w:type="gramEnd"/>
      <w:r w:rsidR="00420519" w:rsidRPr="005C6EB0">
        <w:rPr>
          <w:rFonts w:ascii="Times New Roman" w:hAnsi="Times New Roman"/>
          <w:lang w:val="en-US"/>
        </w:rPr>
        <w:t xml:space="preserve"> the laws of the state/country of incorporation.</w:t>
      </w:r>
      <w:r w:rsidR="00D2341F">
        <w:rPr>
          <w:rFonts w:ascii="Times New Roman" w:hAnsi="Times New Roman"/>
          <w:lang w:val="en-US"/>
        </w:rPr>
        <w:t xml:space="preserve"> Hence, we need to look at the issue from a historical perspective.</w:t>
      </w:r>
    </w:p>
    <w:p w14:paraId="3D4BCBAE" w14:textId="7CE971E3" w:rsidR="00420519" w:rsidRDefault="00420519" w:rsidP="005C6EB0">
      <w:pPr>
        <w:pStyle w:val="ListParagraph"/>
        <w:numPr>
          <w:ilvl w:val="1"/>
          <w:numId w:val="1"/>
        </w:numPr>
        <w:rPr>
          <w:rFonts w:ascii="Times New Roman" w:hAnsi="Times New Roman"/>
          <w:lang w:val="en-US"/>
        </w:rPr>
      </w:pPr>
      <w:r w:rsidRPr="005C6EB0">
        <w:rPr>
          <w:rFonts w:ascii="Times New Roman" w:hAnsi="Times New Roman"/>
          <w:lang w:val="en-US"/>
        </w:rPr>
        <w:t xml:space="preserve">Research objectives and </w:t>
      </w:r>
      <w:proofErr w:type="gramStart"/>
      <w:r w:rsidRPr="005C6EB0">
        <w:rPr>
          <w:rFonts w:ascii="Times New Roman" w:hAnsi="Times New Roman"/>
          <w:lang w:val="en-US"/>
        </w:rPr>
        <w:t>significance</w:t>
      </w:r>
      <w:proofErr w:type="gramEnd"/>
    </w:p>
    <w:p w14:paraId="7F76B2FA" w14:textId="77777777" w:rsidR="005C6EB0" w:rsidRDefault="005C6EB0" w:rsidP="005C6EB0">
      <w:pPr>
        <w:pStyle w:val="ListParagraph"/>
        <w:numPr>
          <w:ilvl w:val="2"/>
          <w:numId w:val="1"/>
        </w:numPr>
        <w:rPr>
          <w:rFonts w:ascii="Times New Roman" w:hAnsi="Times New Roman"/>
          <w:lang w:val="en-US"/>
        </w:rPr>
      </w:pPr>
      <w:r w:rsidRPr="005C6EB0">
        <w:rPr>
          <w:rFonts w:ascii="Times New Roman" w:hAnsi="Times New Roman"/>
          <w:lang w:val="en-US"/>
        </w:rPr>
        <w:t xml:space="preserve">Reframing </w:t>
      </w:r>
      <w:r>
        <w:rPr>
          <w:rFonts w:ascii="Times New Roman" w:hAnsi="Times New Roman"/>
          <w:lang w:val="en-US"/>
        </w:rPr>
        <w:t>c</w:t>
      </w:r>
      <w:r w:rsidRPr="005C6EB0">
        <w:rPr>
          <w:rFonts w:ascii="Times New Roman" w:hAnsi="Times New Roman"/>
          <w:lang w:val="en-US"/>
        </w:rPr>
        <w:t xml:space="preserve">orporate </w:t>
      </w:r>
      <w:r>
        <w:rPr>
          <w:rFonts w:ascii="Times New Roman" w:hAnsi="Times New Roman"/>
          <w:lang w:val="en-US"/>
        </w:rPr>
        <w:t>p</w:t>
      </w:r>
      <w:r w:rsidRPr="005C6EB0">
        <w:rPr>
          <w:rFonts w:ascii="Times New Roman" w:hAnsi="Times New Roman"/>
          <w:lang w:val="en-US"/>
        </w:rPr>
        <w:t>urpose</w:t>
      </w:r>
      <w:r>
        <w:rPr>
          <w:rFonts w:ascii="Times New Roman" w:hAnsi="Times New Roman"/>
          <w:lang w:val="en-US"/>
        </w:rPr>
        <w:t xml:space="preserve"> as </w:t>
      </w:r>
      <w:r w:rsidRPr="005C6EB0">
        <w:rPr>
          <w:rFonts w:ascii="Times New Roman" w:hAnsi="Times New Roman"/>
          <w:lang w:val="en-US"/>
        </w:rPr>
        <w:t>a delineation of firm activities</w:t>
      </w:r>
    </w:p>
    <w:p w14:paraId="1E6B87A9" w14:textId="57636CA6" w:rsidR="005C6EB0" w:rsidRDefault="005C6EB0" w:rsidP="00420519">
      <w:pPr>
        <w:pStyle w:val="ListParagraph"/>
        <w:numPr>
          <w:ilvl w:val="2"/>
          <w:numId w:val="1"/>
        </w:numPr>
        <w:rPr>
          <w:rFonts w:ascii="Times New Roman" w:hAnsi="Times New Roman"/>
          <w:lang w:val="en-US"/>
        </w:rPr>
      </w:pPr>
      <w:r w:rsidRPr="005C6EB0">
        <w:rPr>
          <w:rFonts w:ascii="Times New Roman" w:hAnsi="Times New Roman"/>
          <w:lang w:val="en-US"/>
        </w:rPr>
        <w:t>Implications for contemporary corporate governance and legal practices</w:t>
      </w:r>
    </w:p>
    <w:p w14:paraId="2CD7D0F4" w14:textId="77777777" w:rsidR="00FF3334" w:rsidRPr="00FF3334" w:rsidRDefault="00FF3334" w:rsidP="00FF3334">
      <w:pPr>
        <w:pStyle w:val="ListParagraph"/>
        <w:ind w:left="2160"/>
        <w:rPr>
          <w:rFonts w:ascii="Times New Roman" w:hAnsi="Times New Roman"/>
          <w:lang w:val="en-US"/>
        </w:rPr>
      </w:pPr>
    </w:p>
    <w:p w14:paraId="7BC06C84" w14:textId="7811107A" w:rsidR="005C6EB0" w:rsidRDefault="005C6EB0" w:rsidP="005C6EB0">
      <w:pPr>
        <w:pStyle w:val="ListParagraph"/>
        <w:numPr>
          <w:ilvl w:val="0"/>
          <w:numId w:val="1"/>
        </w:numPr>
        <w:rPr>
          <w:rFonts w:ascii="Times New Roman" w:hAnsi="Times New Roman"/>
          <w:lang w:val="en-US"/>
        </w:rPr>
      </w:pPr>
      <w:r>
        <w:rPr>
          <w:rFonts w:ascii="Times New Roman" w:hAnsi="Times New Roman"/>
          <w:lang w:val="en-US"/>
        </w:rPr>
        <w:t>Methodology</w:t>
      </w:r>
    </w:p>
    <w:p w14:paraId="326AD2DF" w14:textId="77777777" w:rsidR="005C6EB0" w:rsidRDefault="00420519" w:rsidP="00420519">
      <w:pPr>
        <w:pStyle w:val="ListParagraph"/>
        <w:numPr>
          <w:ilvl w:val="1"/>
          <w:numId w:val="1"/>
        </w:numPr>
        <w:rPr>
          <w:rFonts w:ascii="Times New Roman" w:hAnsi="Times New Roman"/>
          <w:lang w:val="en-US"/>
        </w:rPr>
      </w:pPr>
      <w:r w:rsidRPr="005C6EB0">
        <w:rPr>
          <w:rFonts w:ascii="Times New Roman" w:hAnsi="Times New Roman"/>
          <w:lang w:val="en-US"/>
        </w:rPr>
        <w:t>Legal Mechanisms for Charter Revocations</w:t>
      </w:r>
    </w:p>
    <w:p w14:paraId="718EDD92" w14:textId="77777777" w:rsidR="005C6EB0" w:rsidRDefault="00420519" w:rsidP="00420519">
      <w:pPr>
        <w:pStyle w:val="ListParagraph"/>
        <w:numPr>
          <w:ilvl w:val="2"/>
          <w:numId w:val="1"/>
        </w:numPr>
        <w:rPr>
          <w:rFonts w:ascii="Times New Roman" w:hAnsi="Times New Roman"/>
          <w:lang w:val="en-US"/>
        </w:rPr>
      </w:pPr>
      <w:r w:rsidRPr="005C6EB0">
        <w:rPr>
          <w:rFonts w:ascii="Times New Roman" w:hAnsi="Times New Roman"/>
          <w:lang w:val="en-US"/>
        </w:rPr>
        <w:t>Overview of UK Royal charters and their significance</w:t>
      </w:r>
    </w:p>
    <w:p w14:paraId="740699AE" w14:textId="77777777" w:rsidR="005C6EB0" w:rsidRDefault="00420519" w:rsidP="00420519">
      <w:pPr>
        <w:pStyle w:val="ListParagraph"/>
        <w:numPr>
          <w:ilvl w:val="2"/>
          <w:numId w:val="1"/>
        </w:numPr>
        <w:rPr>
          <w:rFonts w:ascii="Times New Roman" w:hAnsi="Times New Roman"/>
          <w:lang w:val="en-US"/>
        </w:rPr>
      </w:pPr>
      <w:r w:rsidRPr="005C6EB0">
        <w:rPr>
          <w:rFonts w:ascii="Times New Roman" w:hAnsi="Times New Roman"/>
          <w:lang w:val="en-US"/>
        </w:rPr>
        <w:t>Descriptive statistics on charter revocations by the monarch</w:t>
      </w:r>
    </w:p>
    <w:p w14:paraId="6E9E49C8" w14:textId="77777777" w:rsidR="005C6EB0" w:rsidRDefault="00420519" w:rsidP="00420519">
      <w:pPr>
        <w:pStyle w:val="ListParagraph"/>
        <w:numPr>
          <w:ilvl w:val="2"/>
          <w:numId w:val="1"/>
        </w:numPr>
        <w:rPr>
          <w:rFonts w:ascii="Times New Roman" w:hAnsi="Times New Roman"/>
          <w:lang w:val="en-US"/>
        </w:rPr>
      </w:pPr>
      <w:r w:rsidRPr="005C6EB0">
        <w:rPr>
          <w:rFonts w:ascii="Times New Roman" w:hAnsi="Times New Roman"/>
          <w:lang w:val="en-US"/>
        </w:rPr>
        <w:t>Alternative methods: Scire facias and judicial processes</w:t>
      </w:r>
    </w:p>
    <w:p w14:paraId="1F69A56C" w14:textId="3944970E" w:rsidR="00FF3334" w:rsidRDefault="00420519" w:rsidP="00FF3334">
      <w:pPr>
        <w:pStyle w:val="ListParagraph"/>
        <w:numPr>
          <w:ilvl w:val="2"/>
          <w:numId w:val="1"/>
        </w:numPr>
        <w:rPr>
          <w:rFonts w:ascii="Times New Roman" w:hAnsi="Times New Roman"/>
          <w:lang w:val="en-US"/>
        </w:rPr>
      </w:pPr>
      <w:r w:rsidRPr="005C6EB0">
        <w:rPr>
          <w:rFonts w:ascii="Times New Roman" w:hAnsi="Times New Roman"/>
          <w:lang w:val="en-US"/>
        </w:rPr>
        <w:t>Case study: The Massachusetts Bay Company and its charter revocation</w:t>
      </w:r>
    </w:p>
    <w:p w14:paraId="4B5E4871" w14:textId="77777777" w:rsidR="00FF3334" w:rsidRPr="00FF3334" w:rsidRDefault="00FF3334" w:rsidP="00FF3334">
      <w:pPr>
        <w:pStyle w:val="ListParagraph"/>
        <w:ind w:left="2160"/>
        <w:rPr>
          <w:rFonts w:ascii="Times New Roman" w:hAnsi="Times New Roman"/>
          <w:lang w:val="en-US"/>
        </w:rPr>
      </w:pPr>
    </w:p>
    <w:p w14:paraId="1FB7C84C" w14:textId="57EE9578" w:rsidR="00FF3334" w:rsidRDefault="00FF3334" w:rsidP="00FF3334">
      <w:pPr>
        <w:pStyle w:val="ListParagraph"/>
        <w:numPr>
          <w:ilvl w:val="0"/>
          <w:numId w:val="1"/>
        </w:numPr>
        <w:rPr>
          <w:rFonts w:ascii="Times New Roman" w:hAnsi="Times New Roman"/>
          <w:lang w:val="en-US"/>
        </w:rPr>
      </w:pPr>
      <w:r w:rsidRPr="005C6EB0">
        <w:rPr>
          <w:rFonts w:ascii="Times New Roman" w:hAnsi="Times New Roman"/>
          <w:lang w:val="en-US"/>
        </w:rPr>
        <w:t>The Massachusetts Bay Company</w:t>
      </w:r>
    </w:p>
    <w:p w14:paraId="6112EA2C" w14:textId="048550D6" w:rsidR="00FF3334" w:rsidRDefault="00FF3334" w:rsidP="00FF3334">
      <w:pPr>
        <w:pStyle w:val="ListParagraph"/>
        <w:numPr>
          <w:ilvl w:val="1"/>
          <w:numId w:val="1"/>
        </w:numPr>
        <w:rPr>
          <w:rFonts w:ascii="Times New Roman" w:hAnsi="Times New Roman"/>
          <w:lang w:val="en-US"/>
        </w:rPr>
      </w:pPr>
      <w:r>
        <w:rPr>
          <w:rFonts w:ascii="Times New Roman" w:hAnsi="Times New Roman"/>
          <w:lang w:val="en-US"/>
        </w:rPr>
        <w:t>History behind the charter and its delineation of activities</w:t>
      </w:r>
    </w:p>
    <w:p w14:paraId="40CCA7A8" w14:textId="7C6D433E" w:rsidR="00FF3334" w:rsidRDefault="00FF3334" w:rsidP="00FF3334">
      <w:pPr>
        <w:pStyle w:val="ListParagraph"/>
        <w:numPr>
          <w:ilvl w:val="1"/>
          <w:numId w:val="1"/>
        </w:numPr>
        <w:rPr>
          <w:rFonts w:ascii="Times New Roman" w:hAnsi="Times New Roman"/>
          <w:lang w:val="en-US"/>
        </w:rPr>
      </w:pPr>
      <w:r>
        <w:rPr>
          <w:rFonts w:ascii="Times New Roman" w:hAnsi="Times New Roman"/>
          <w:lang w:val="en-US"/>
        </w:rPr>
        <w:t xml:space="preserve">New developments in the meantime, particularly as it relates to the daily activities of the </w:t>
      </w:r>
      <w:proofErr w:type="gramStart"/>
      <w:r>
        <w:rPr>
          <w:rFonts w:ascii="Times New Roman" w:hAnsi="Times New Roman"/>
          <w:lang w:val="en-US"/>
        </w:rPr>
        <w:t>company</w:t>
      </w:r>
      <w:proofErr w:type="gramEnd"/>
    </w:p>
    <w:p w14:paraId="0315479B" w14:textId="47B457BC" w:rsidR="00FF3334" w:rsidRDefault="00FF3334" w:rsidP="00FF3334">
      <w:pPr>
        <w:pStyle w:val="ListParagraph"/>
        <w:numPr>
          <w:ilvl w:val="1"/>
          <w:numId w:val="1"/>
        </w:numPr>
        <w:rPr>
          <w:rFonts w:ascii="Times New Roman" w:hAnsi="Times New Roman"/>
          <w:lang w:val="en-US"/>
        </w:rPr>
      </w:pPr>
      <w:r>
        <w:rPr>
          <w:rFonts w:ascii="Times New Roman" w:hAnsi="Times New Roman"/>
          <w:lang w:val="en-US"/>
        </w:rPr>
        <w:t>Charter revocation</w:t>
      </w:r>
    </w:p>
    <w:p w14:paraId="771196A1" w14:textId="77777777" w:rsidR="00FF3334" w:rsidRDefault="00FF3334" w:rsidP="00420519">
      <w:pPr>
        <w:pStyle w:val="ListParagraph"/>
        <w:numPr>
          <w:ilvl w:val="2"/>
          <w:numId w:val="1"/>
        </w:numPr>
        <w:rPr>
          <w:rFonts w:ascii="Times New Roman" w:hAnsi="Times New Roman"/>
          <w:lang w:val="en-US"/>
        </w:rPr>
      </w:pPr>
      <w:r>
        <w:rPr>
          <w:rFonts w:ascii="Times New Roman" w:hAnsi="Times New Roman"/>
          <w:lang w:val="en-US"/>
        </w:rPr>
        <w:t>Analysis of the judicial opinion (if found)</w:t>
      </w:r>
    </w:p>
    <w:p w14:paraId="5E524E37" w14:textId="77777777" w:rsidR="00FF3334" w:rsidRDefault="00FF3334" w:rsidP="00FF3334">
      <w:pPr>
        <w:pStyle w:val="ListParagraph"/>
        <w:ind w:left="2160"/>
        <w:rPr>
          <w:rFonts w:ascii="Times New Roman" w:hAnsi="Times New Roman"/>
          <w:lang w:val="en-US"/>
        </w:rPr>
      </w:pPr>
    </w:p>
    <w:p w14:paraId="47A6A05E" w14:textId="77777777" w:rsidR="00FF3334" w:rsidRDefault="00420519" w:rsidP="00420519">
      <w:pPr>
        <w:pStyle w:val="ListParagraph"/>
        <w:numPr>
          <w:ilvl w:val="0"/>
          <w:numId w:val="1"/>
        </w:numPr>
        <w:rPr>
          <w:rFonts w:ascii="Times New Roman" w:hAnsi="Times New Roman"/>
          <w:lang w:val="en-US"/>
        </w:rPr>
      </w:pPr>
      <w:r w:rsidRPr="00FF3334">
        <w:rPr>
          <w:rFonts w:ascii="Times New Roman" w:hAnsi="Times New Roman"/>
          <w:lang w:val="en-US"/>
        </w:rPr>
        <w:t>Scholarly Discourse on Corporate Purpose</w:t>
      </w:r>
    </w:p>
    <w:p w14:paraId="062A6493" w14:textId="77777777" w:rsidR="00FF3334" w:rsidRDefault="00420519" w:rsidP="00420519">
      <w:pPr>
        <w:pStyle w:val="ListParagraph"/>
        <w:numPr>
          <w:ilvl w:val="1"/>
          <w:numId w:val="1"/>
        </w:numPr>
        <w:rPr>
          <w:rFonts w:ascii="Times New Roman" w:hAnsi="Times New Roman"/>
          <w:lang w:val="en-US"/>
        </w:rPr>
      </w:pPr>
      <w:r w:rsidRPr="00FF3334">
        <w:rPr>
          <w:rFonts w:ascii="Times New Roman" w:hAnsi="Times New Roman"/>
          <w:lang w:val="en-US"/>
        </w:rPr>
        <w:t>Contemporary debate on corporate purpose in legal and economic studies</w:t>
      </w:r>
    </w:p>
    <w:p w14:paraId="44B213AC" w14:textId="0B1DA535" w:rsidR="00420519" w:rsidRPr="00FF3334" w:rsidRDefault="00FF3334" w:rsidP="00420519">
      <w:pPr>
        <w:pStyle w:val="ListParagraph"/>
        <w:numPr>
          <w:ilvl w:val="1"/>
          <w:numId w:val="1"/>
        </w:numPr>
        <w:rPr>
          <w:rFonts w:ascii="Times New Roman" w:hAnsi="Times New Roman"/>
          <w:lang w:val="en-US"/>
        </w:rPr>
      </w:pPr>
      <w:r>
        <w:rPr>
          <w:rFonts w:ascii="Times New Roman" w:hAnsi="Times New Roman"/>
          <w:lang w:val="en-US"/>
        </w:rPr>
        <w:t xml:space="preserve">Highlight the need for a more nuanced understanding of corporate purpose that includes the limitation of the activities of the </w:t>
      </w:r>
      <w:proofErr w:type="gramStart"/>
      <w:r w:rsidR="00DE7DE0">
        <w:rPr>
          <w:rFonts w:ascii="Times New Roman" w:hAnsi="Times New Roman"/>
          <w:lang w:val="en-US"/>
        </w:rPr>
        <w:t>corporation</w:t>
      </w:r>
      <w:proofErr w:type="gramEnd"/>
    </w:p>
    <w:p w14:paraId="7EA9994D" w14:textId="77777777" w:rsidR="00420519" w:rsidRPr="005C6EB0" w:rsidRDefault="00420519" w:rsidP="00420519">
      <w:pPr>
        <w:rPr>
          <w:rFonts w:ascii="Times New Roman" w:hAnsi="Times New Roman"/>
          <w:lang w:val="en-US"/>
        </w:rPr>
      </w:pPr>
      <w:r w:rsidRPr="005C6EB0">
        <w:rPr>
          <w:rFonts w:ascii="Times New Roman" w:hAnsi="Times New Roman"/>
          <w:lang w:val="en-US"/>
        </w:rPr>
        <w:t xml:space="preserve">   </w:t>
      </w:r>
    </w:p>
    <w:p w14:paraId="21DF27F2" w14:textId="77777777" w:rsidR="00FF3334" w:rsidRDefault="00420519" w:rsidP="00420519">
      <w:pPr>
        <w:pStyle w:val="ListParagraph"/>
        <w:numPr>
          <w:ilvl w:val="0"/>
          <w:numId w:val="1"/>
        </w:numPr>
        <w:rPr>
          <w:rFonts w:ascii="Times New Roman" w:hAnsi="Times New Roman"/>
          <w:lang w:val="en-US"/>
        </w:rPr>
      </w:pPr>
      <w:r w:rsidRPr="00FF3334">
        <w:rPr>
          <w:rFonts w:ascii="Times New Roman" w:hAnsi="Times New Roman"/>
          <w:lang w:val="en-US"/>
        </w:rPr>
        <w:t>Conclusion</w:t>
      </w:r>
    </w:p>
    <w:p w14:paraId="11F721B5" w14:textId="77777777" w:rsidR="00FF3334" w:rsidRDefault="00420519" w:rsidP="00420519">
      <w:pPr>
        <w:pStyle w:val="ListParagraph"/>
        <w:numPr>
          <w:ilvl w:val="1"/>
          <w:numId w:val="1"/>
        </w:numPr>
        <w:rPr>
          <w:rFonts w:ascii="Times New Roman" w:hAnsi="Times New Roman"/>
          <w:lang w:val="en-US"/>
        </w:rPr>
      </w:pPr>
      <w:r w:rsidRPr="00FF3334">
        <w:rPr>
          <w:rFonts w:ascii="Times New Roman" w:hAnsi="Times New Roman"/>
          <w:lang w:val="en-US"/>
        </w:rPr>
        <w:t>Recap of key findings and contributions</w:t>
      </w:r>
    </w:p>
    <w:p w14:paraId="0684D558" w14:textId="77777777" w:rsidR="00FF3334" w:rsidRDefault="00420519" w:rsidP="00420519">
      <w:pPr>
        <w:pStyle w:val="ListParagraph"/>
        <w:numPr>
          <w:ilvl w:val="1"/>
          <w:numId w:val="1"/>
        </w:numPr>
        <w:rPr>
          <w:rFonts w:ascii="Times New Roman" w:hAnsi="Times New Roman"/>
          <w:lang w:val="en-US"/>
        </w:rPr>
      </w:pPr>
      <w:r w:rsidRPr="00FF3334">
        <w:rPr>
          <w:rFonts w:ascii="Times New Roman" w:hAnsi="Times New Roman"/>
          <w:lang w:val="en-US"/>
        </w:rPr>
        <w:t>Implications for future research and practice</w:t>
      </w:r>
    </w:p>
    <w:p w14:paraId="2D3EBC39" w14:textId="62D7A940" w:rsidR="00420519" w:rsidRPr="00FF3334" w:rsidRDefault="00420519" w:rsidP="00420519">
      <w:pPr>
        <w:pStyle w:val="ListParagraph"/>
        <w:numPr>
          <w:ilvl w:val="1"/>
          <w:numId w:val="1"/>
        </w:numPr>
        <w:rPr>
          <w:rFonts w:ascii="Times New Roman" w:hAnsi="Times New Roman"/>
          <w:lang w:val="en-US"/>
        </w:rPr>
      </w:pPr>
      <w:r w:rsidRPr="00FF3334">
        <w:rPr>
          <w:rFonts w:ascii="Times New Roman" w:hAnsi="Times New Roman"/>
          <w:lang w:val="en-US"/>
        </w:rPr>
        <w:t xml:space="preserve">Final thoughts on the importance of historical perspectives in understanding corporate </w:t>
      </w:r>
      <w:proofErr w:type="gramStart"/>
      <w:r w:rsidRPr="00FF3334">
        <w:rPr>
          <w:rFonts w:ascii="Times New Roman" w:hAnsi="Times New Roman"/>
          <w:lang w:val="en-US"/>
        </w:rPr>
        <w:t>purpose</w:t>
      </w:r>
      <w:proofErr w:type="gramEnd"/>
    </w:p>
    <w:p w14:paraId="2A19F9D4" w14:textId="77777777" w:rsidR="00420519" w:rsidRPr="005C6EB0" w:rsidRDefault="00420519" w:rsidP="00AA22F8">
      <w:pPr>
        <w:rPr>
          <w:rFonts w:ascii="Times New Roman" w:hAnsi="Times New Roman"/>
          <w:lang w:val="en-US"/>
        </w:rPr>
      </w:pPr>
    </w:p>
    <w:p w14:paraId="03268F14" w14:textId="77777777" w:rsidR="00420519" w:rsidRPr="005C6EB0" w:rsidRDefault="00420519" w:rsidP="00AA22F8">
      <w:pPr>
        <w:rPr>
          <w:rFonts w:ascii="Times New Roman" w:hAnsi="Times New Roman"/>
          <w:lang w:val="en-US"/>
        </w:rPr>
      </w:pPr>
    </w:p>
    <w:p w14:paraId="6810A574" w14:textId="77777777" w:rsidR="00420519" w:rsidRPr="005C6EB0" w:rsidRDefault="00420519" w:rsidP="00AA22F8">
      <w:pPr>
        <w:rPr>
          <w:rFonts w:ascii="Times New Roman" w:hAnsi="Times New Roman"/>
          <w:lang w:val="en-US"/>
        </w:rPr>
      </w:pPr>
    </w:p>
    <w:p w14:paraId="0C79235C" w14:textId="77777777" w:rsidR="00420519" w:rsidRPr="005C6EB0" w:rsidRDefault="00420519" w:rsidP="00AA22F8">
      <w:pPr>
        <w:rPr>
          <w:rFonts w:ascii="Times New Roman" w:hAnsi="Times New Roman"/>
          <w:lang w:val="en-US"/>
        </w:rPr>
      </w:pPr>
    </w:p>
    <w:p w14:paraId="7BDB15F2" w14:textId="112F0ADF" w:rsidR="00420519" w:rsidRDefault="00E12CC9" w:rsidP="00AA22F8">
      <w:pPr>
        <w:rPr>
          <w:rFonts w:ascii="Times New Roman" w:hAnsi="Times New Roman"/>
          <w:lang w:val="en-US"/>
        </w:rPr>
      </w:pPr>
      <w:r>
        <w:rPr>
          <w:rFonts w:ascii="Times New Roman" w:hAnsi="Times New Roman"/>
          <w:lang w:val="en-US"/>
        </w:rPr>
        <w:t xml:space="preserve">II. </w:t>
      </w:r>
      <w:r w:rsidRPr="00E12CC9">
        <w:rPr>
          <w:rFonts w:ascii="Times New Roman" w:hAnsi="Times New Roman"/>
          <w:lang w:val="en-US"/>
        </w:rPr>
        <w:t>Methodology</w:t>
      </w:r>
    </w:p>
    <w:p w14:paraId="0490AB76" w14:textId="77777777" w:rsidR="00E12CC9" w:rsidRDefault="00E12CC9" w:rsidP="00AA22F8">
      <w:pPr>
        <w:rPr>
          <w:rFonts w:ascii="Times New Roman" w:hAnsi="Times New Roman"/>
          <w:lang w:val="en-US"/>
        </w:rPr>
      </w:pPr>
    </w:p>
    <w:p w14:paraId="072F1C5F" w14:textId="0BC93B08" w:rsidR="00782AF5" w:rsidRDefault="00263321" w:rsidP="00AA22F8">
      <w:pPr>
        <w:rPr>
          <w:rFonts w:ascii="Times New Roman" w:hAnsi="Times New Roman"/>
          <w:lang w:val="en-US"/>
        </w:rPr>
      </w:pPr>
      <w:r>
        <w:rPr>
          <w:rFonts w:ascii="Times New Roman" w:hAnsi="Times New Roman"/>
          <w:lang w:val="en-US"/>
        </w:rPr>
        <w:t xml:space="preserve">From a modern </w:t>
      </w:r>
      <w:r w:rsidR="009518C2">
        <w:rPr>
          <w:rFonts w:ascii="Times New Roman" w:hAnsi="Times New Roman"/>
          <w:lang w:val="en-US"/>
        </w:rPr>
        <w:t xml:space="preserve">legal </w:t>
      </w:r>
      <w:r>
        <w:rPr>
          <w:rFonts w:ascii="Times New Roman" w:hAnsi="Times New Roman"/>
          <w:lang w:val="en-US"/>
        </w:rPr>
        <w:t xml:space="preserve">perspective, royal charters </w:t>
      </w:r>
      <w:r w:rsidR="009518C2">
        <w:rPr>
          <w:rFonts w:ascii="Times New Roman" w:hAnsi="Times New Roman"/>
          <w:lang w:val="en-US"/>
        </w:rPr>
        <w:t>are not particularly appealing for</w:t>
      </w:r>
      <w:r w:rsidR="00D2341F">
        <w:rPr>
          <w:rFonts w:ascii="Times New Roman" w:hAnsi="Times New Roman"/>
          <w:lang w:val="en-US"/>
        </w:rPr>
        <w:t xml:space="preserve"> the</w:t>
      </w:r>
      <w:r w:rsidR="009518C2">
        <w:rPr>
          <w:rFonts w:ascii="Times New Roman" w:hAnsi="Times New Roman"/>
          <w:lang w:val="en-US"/>
        </w:rPr>
        <w:t xml:space="preserve"> purpose of incorporation. After all, the</w:t>
      </w:r>
      <w:r w:rsidR="00782AF5">
        <w:rPr>
          <w:rFonts w:ascii="Times New Roman" w:hAnsi="Times New Roman"/>
          <w:lang w:val="en-US"/>
        </w:rPr>
        <w:t>re is no added legal benefit that royal charter</w:t>
      </w:r>
      <w:r w:rsidR="00FE692E">
        <w:rPr>
          <w:rFonts w:ascii="Times New Roman" w:hAnsi="Times New Roman"/>
          <w:lang w:val="en-US"/>
        </w:rPr>
        <w:t>s</w:t>
      </w:r>
      <w:r w:rsidR="00782AF5">
        <w:rPr>
          <w:rFonts w:ascii="Times New Roman" w:hAnsi="Times New Roman"/>
          <w:lang w:val="en-US"/>
        </w:rPr>
        <w:t xml:space="preserve"> bestow upon a company that the modern corporate form does not</w:t>
      </w:r>
      <w:r w:rsidR="008B7D48">
        <w:rPr>
          <w:rFonts w:ascii="Times New Roman" w:hAnsi="Times New Roman"/>
          <w:lang w:val="en-US"/>
        </w:rPr>
        <w:t xml:space="preserve">; among such benefits are </w:t>
      </w:r>
      <w:r w:rsidR="00FE692E">
        <w:rPr>
          <w:rFonts w:ascii="Times New Roman" w:hAnsi="Times New Roman"/>
          <w:lang w:val="en-US"/>
        </w:rPr>
        <w:t xml:space="preserve">limited liability, entity shielding, transferability of shares and so on. </w:t>
      </w:r>
      <w:r w:rsidR="008B7D48">
        <w:rPr>
          <w:rFonts w:ascii="Times New Roman" w:hAnsi="Times New Roman"/>
          <w:lang w:val="en-US"/>
        </w:rPr>
        <w:t>From a historical perspective, royal charters are arguably the best source to understand the notion of corporate purpose</w:t>
      </w:r>
      <w:r w:rsidR="00D2341F">
        <w:rPr>
          <w:rFonts w:ascii="Times New Roman" w:hAnsi="Times New Roman"/>
          <w:lang w:val="en-US"/>
        </w:rPr>
        <w:t>.</w:t>
      </w:r>
      <w:r w:rsidR="008B7D48">
        <w:rPr>
          <w:rFonts w:ascii="Times New Roman" w:hAnsi="Times New Roman"/>
          <w:lang w:val="en-US"/>
        </w:rPr>
        <w:t xml:space="preserve"> </w:t>
      </w:r>
    </w:p>
    <w:p w14:paraId="716BF90E" w14:textId="77777777" w:rsidR="008B7D48" w:rsidRDefault="008B7D48" w:rsidP="00AA22F8">
      <w:pPr>
        <w:rPr>
          <w:rFonts w:ascii="Times New Roman" w:hAnsi="Times New Roman"/>
          <w:lang w:val="en-US"/>
        </w:rPr>
      </w:pPr>
    </w:p>
    <w:p w14:paraId="1C44AE56" w14:textId="541D2128" w:rsidR="00FE692E" w:rsidRDefault="008B7D48" w:rsidP="00AA22F8">
      <w:pPr>
        <w:rPr>
          <w:rFonts w:ascii="Times New Roman" w:hAnsi="Times New Roman"/>
          <w:lang w:val="en-US"/>
        </w:rPr>
      </w:pPr>
      <w:r>
        <w:rPr>
          <w:rFonts w:ascii="Times New Roman" w:hAnsi="Times New Roman"/>
          <w:lang w:val="en-US"/>
        </w:rPr>
        <w:t>For starters, the current</w:t>
      </w:r>
      <w:r w:rsidR="00AD0D65">
        <w:rPr>
          <w:rFonts w:ascii="Times New Roman" w:hAnsi="Times New Roman"/>
          <w:lang w:val="en-US"/>
        </w:rPr>
        <w:t xml:space="preserve"> modern</w:t>
      </w:r>
      <w:r>
        <w:rPr>
          <w:rFonts w:ascii="Times New Roman" w:hAnsi="Times New Roman"/>
          <w:lang w:val="en-US"/>
        </w:rPr>
        <w:t xml:space="preserve"> process of incorporation, often deemed straight forward and more of an administrative burden rather than anything else, is the by-product of the English Companies Acts of the mid-nineteenth century in England. (Butler, 1986) Indeed, such acts ensured that Parliament relinquish its strict control over the corporate form and served as the starting</w:t>
      </w:r>
      <w:r w:rsidR="00AD0D65">
        <w:rPr>
          <w:rFonts w:ascii="Times New Roman" w:hAnsi="Times New Roman"/>
          <w:lang w:val="en-US"/>
        </w:rPr>
        <w:t xml:space="preserve"> point for ensuring that the corporate form became mainstream, a process I call the liberalization of the corporate form. </w:t>
      </w:r>
    </w:p>
    <w:p w14:paraId="6B616B19" w14:textId="77777777" w:rsidR="00AD0D65" w:rsidRPr="00AD0D65" w:rsidRDefault="00AD0D65" w:rsidP="00AA22F8">
      <w:pPr>
        <w:rPr>
          <w:rFonts w:ascii="Times New Roman" w:hAnsi="Times New Roman"/>
          <w:lang w:val="en-US"/>
        </w:rPr>
      </w:pPr>
    </w:p>
    <w:p w14:paraId="0D6B792C" w14:textId="4616D521" w:rsidR="00AD0D65" w:rsidRDefault="00AD0D65" w:rsidP="00AD0D65">
      <w:pPr>
        <w:rPr>
          <w:rFonts w:ascii="Times New Roman" w:hAnsi="Times New Roman"/>
        </w:rPr>
      </w:pPr>
      <w:r w:rsidRPr="00AD0D65">
        <w:rPr>
          <w:rFonts w:ascii="Times New Roman" w:hAnsi="Times New Roman"/>
          <w:lang w:val="en-US"/>
        </w:rPr>
        <w:t>Before the 19</w:t>
      </w:r>
      <w:r w:rsidRPr="00AD0D65">
        <w:rPr>
          <w:rFonts w:ascii="Times New Roman" w:hAnsi="Times New Roman"/>
          <w:vertAlign w:val="superscript"/>
          <w:lang w:val="en-US"/>
        </w:rPr>
        <w:t>th</w:t>
      </w:r>
      <w:r w:rsidRPr="00AD0D65">
        <w:rPr>
          <w:rFonts w:ascii="Times New Roman" w:hAnsi="Times New Roman"/>
          <w:lang w:val="en-US"/>
        </w:rPr>
        <w:t xml:space="preserve"> century, as Butler (1986) points out, “companies </w:t>
      </w:r>
      <w:r w:rsidRPr="00AD0D65">
        <w:rPr>
          <w:rFonts w:ascii="Times New Roman" w:hAnsi="Times New Roman"/>
        </w:rPr>
        <w:t>obtained their corporate status by either royal charter granted under the common law, royal charter granted under statute, or Special Act of Parliament. These corporations were defined under the common law, and they all had the privileges that are normally associated with modern corporations.”</w:t>
      </w:r>
      <w:r>
        <w:rPr>
          <w:rFonts w:ascii="Times New Roman" w:hAnsi="Times New Roman"/>
        </w:rPr>
        <w:t xml:space="preserve"> Indeed, prior to the 19th century, the grant of a royal charter was “the principal method of crafting separate legal personalities. (Privy Office, 2024) Hence, it makes sense that an overview of such charters should be a starting point for any debate related to the nature of corporate purpose. </w:t>
      </w:r>
      <w:r>
        <w:rPr>
          <w:rFonts w:ascii="Times New Roman" w:hAnsi="Times New Roman"/>
        </w:rPr>
        <w:br/>
      </w:r>
      <w:r>
        <w:rPr>
          <w:rFonts w:ascii="Times New Roman" w:hAnsi="Times New Roman"/>
        </w:rPr>
        <w:br/>
      </w:r>
      <w:r w:rsidR="004B0E61">
        <w:rPr>
          <w:rFonts w:ascii="Times New Roman" w:hAnsi="Times New Roman"/>
        </w:rPr>
        <w:t>Overall, there have been over a thousand (1041 to be precise) royal charters issued in the United Kingdom. Figure 1</w:t>
      </w:r>
      <w:r w:rsidR="007070BA">
        <w:rPr>
          <w:rFonts w:ascii="Times New Roman" w:hAnsi="Times New Roman"/>
        </w:rPr>
        <w:t xml:space="preserve"> </w:t>
      </w:r>
      <w:r w:rsidR="004B0E61">
        <w:rPr>
          <w:rFonts w:ascii="Times New Roman" w:hAnsi="Times New Roman"/>
        </w:rPr>
        <w:t xml:space="preserve">represents the distribution of such charters over time. </w:t>
      </w:r>
      <w:r w:rsidR="004B0E61">
        <w:rPr>
          <w:rFonts w:ascii="Times New Roman" w:hAnsi="Times New Roman"/>
        </w:rPr>
        <w:br/>
      </w:r>
      <w:r w:rsidR="004B0E61">
        <w:rPr>
          <w:rFonts w:ascii="Times New Roman" w:hAnsi="Times New Roman"/>
        </w:rPr>
        <w:br/>
      </w:r>
      <w:r w:rsidR="004B0E61">
        <w:rPr>
          <w:rFonts w:ascii="Times New Roman" w:hAnsi="Times New Roman"/>
          <w:noProof/>
        </w:rPr>
        <w:drawing>
          <wp:inline distT="0" distB="0" distL="0" distR="0" wp14:anchorId="21FCE1D9" wp14:editId="09D9CCE3">
            <wp:extent cx="5731510" cy="3439160"/>
            <wp:effectExtent l="0" t="0" r="0" b="0"/>
            <wp:docPr id="4310335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033578" name="Picture 431033578"/>
                    <pic:cNvPicPr/>
                  </pic:nvPicPr>
                  <pic:blipFill>
                    <a:blip r:embed="rId7">
                      <a:extLst>
                        <a:ext uri="{28A0092B-C50C-407E-A947-70E740481C1C}">
                          <a14:useLocalDpi xmlns:a14="http://schemas.microsoft.com/office/drawing/2010/main" val="0"/>
                        </a:ext>
                      </a:extLst>
                    </a:blip>
                    <a:stretch>
                      <a:fillRect/>
                    </a:stretch>
                  </pic:blipFill>
                  <pic:spPr>
                    <a:xfrm>
                      <a:off x="0" y="0"/>
                      <a:ext cx="5731510" cy="3439160"/>
                    </a:xfrm>
                    <a:prstGeom prst="rect">
                      <a:avLst/>
                    </a:prstGeom>
                  </pic:spPr>
                </pic:pic>
              </a:graphicData>
            </a:graphic>
          </wp:inline>
        </w:drawing>
      </w:r>
    </w:p>
    <w:p w14:paraId="4B7DD0C8" w14:textId="77777777" w:rsidR="00AD0D65" w:rsidRDefault="00AD0D65" w:rsidP="00AD0D65">
      <w:pPr>
        <w:rPr>
          <w:rFonts w:ascii="Times New Roman" w:hAnsi="Times New Roman"/>
        </w:rPr>
      </w:pPr>
    </w:p>
    <w:p w14:paraId="2FD8D54A" w14:textId="1E7E8D42" w:rsidR="00AD0D65" w:rsidRPr="00AD0D65" w:rsidRDefault="007070BA" w:rsidP="00AD0D65">
      <w:pPr>
        <w:rPr>
          <w:rFonts w:ascii="Times New Roman" w:hAnsi="Times New Roman"/>
          <w:lang w:val="en-US"/>
        </w:rPr>
      </w:pPr>
      <w:r>
        <w:rPr>
          <w:rFonts w:ascii="Times New Roman" w:hAnsi="Times New Roman"/>
          <w:lang w:val="en-US"/>
        </w:rPr>
        <w:t xml:space="preserve">Figure 1. </w:t>
      </w:r>
    </w:p>
    <w:p w14:paraId="4D4AAB3D" w14:textId="2D588853" w:rsidR="0056520D" w:rsidRDefault="004B0E61" w:rsidP="0068443B">
      <w:pPr>
        <w:rPr>
          <w:rFonts w:ascii="Times New Roman" w:eastAsia="Times New Roman" w:hAnsi="Times New Roman"/>
          <w:lang w:eastAsia="en-GB"/>
        </w:rPr>
      </w:pPr>
      <w:r>
        <w:rPr>
          <w:rFonts w:ascii="Times New Roman" w:hAnsi="Times New Roman"/>
          <w:lang w:val="en-US"/>
        </w:rPr>
        <w:lastRenderedPageBreak/>
        <w:t xml:space="preserve">Figure 1 reveals two main patterns: (1) royal charters </w:t>
      </w:r>
      <w:r w:rsidR="00D2341F">
        <w:rPr>
          <w:rFonts w:ascii="Times New Roman" w:hAnsi="Times New Roman"/>
          <w:lang w:val="en-US"/>
        </w:rPr>
        <w:t>were</w:t>
      </w:r>
      <w:r>
        <w:rPr>
          <w:rFonts w:ascii="Times New Roman" w:hAnsi="Times New Roman"/>
          <w:lang w:val="en-US"/>
        </w:rPr>
        <w:t xml:space="preserve"> not easily granted, particularly up to 1800s, and (2)</w:t>
      </w:r>
      <w:r w:rsidR="002E1490">
        <w:rPr>
          <w:rFonts w:ascii="Times New Roman" w:hAnsi="Times New Roman"/>
          <w:lang w:val="en-US"/>
        </w:rPr>
        <w:t xml:space="preserve"> the growth </w:t>
      </w:r>
      <w:r w:rsidR="004B5048">
        <w:rPr>
          <w:rFonts w:ascii="Times New Roman" w:hAnsi="Times New Roman"/>
          <w:lang w:val="en-US"/>
        </w:rPr>
        <w:t xml:space="preserve">in the number of charters in the 1800s </w:t>
      </w:r>
      <w:r w:rsidR="00D2341F">
        <w:rPr>
          <w:rFonts w:ascii="Times New Roman" w:hAnsi="Times New Roman"/>
          <w:lang w:val="en-US"/>
        </w:rPr>
        <w:t xml:space="preserve">was </w:t>
      </w:r>
      <w:r w:rsidR="004B5048">
        <w:rPr>
          <w:rFonts w:ascii="Times New Roman" w:hAnsi="Times New Roman"/>
          <w:lang w:val="en-US"/>
        </w:rPr>
        <w:t>not sustained, but rather the number fluctuates over time. Both these patterns are important. The former reveals that despite their appeal, corporate charters were difficult to obtain, as they were entirely dependent on the preferences of kings, who often distributed charters based on political interests rather than need</w:t>
      </w:r>
      <w:r w:rsidR="0068443B">
        <w:rPr>
          <w:rFonts w:ascii="Times New Roman" w:hAnsi="Times New Roman"/>
          <w:lang w:val="en-US"/>
        </w:rPr>
        <w:t xml:space="preserve"> or wanted </w:t>
      </w:r>
      <w:r w:rsidR="0056520D">
        <w:rPr>
          <w:rFonts w:ascii="Times New Roman" w:hAnsi="Times New Roman"/>
          <w:lang w:val="en-US"/>
        </w:rPr>
        <w:t>a hefty financial compensation in return</w:t>
      </w:r>
      <w:r w:rsidR="004B5048">
        <w:rPr>
          <w:rFonts w:ascii="Times New Roman" w:hAnsi="Times New Roman"/>
          <w:lang w:val="en-US"/>
        </w:rPr>
        <w:t xml:space="preserve">. </w:t>
      </w:r>
      <w:r w:rsidR="004B5048" w:rsidRPr="002C1532">
        <w:rPr>
          <w:rFonts w:ascii="Times New Roman" w:eastAsia="Times New Roman" w:hAnsi="Times New Roman"/>
          <w:lang w:eastAsia="en-GB"/>
        </w:rPr>
        <w:t>(Holdsworth, 1922; Scott, 1912)</w:t>
      </w:r>
      <w:r w:rsidR="004B5048">
        <w:rPr>
          <w:rFonts w:ascii="Times New Roman" w:eastAsia="Times New Roman" w:hAnsi="Times New Roman"/>
          <w:lang w:eastAsia="en-GB"/>
        </w:rPr>
        <w:t xml:space="preserve"> The risk of expropriation also remained constatly high, as the kings often had a tendency to not honor entirely their charter agreements or </w:t>
      </w:r>
      <w:r w:rsidR="0056520D">
        <w:rPr>
          <w:rFonts w:ascii="Times New Roman" w:eastAsia="Times New Roman" w:hAnsi="Times New Roman"/>
          <w:lang w:eastAsia="en-GB"/>
        </w:rPr>
        <w:t>there oc</w:t>
      </w:r>
      <w:r w:rsidR="00D2341F">
        <w:rPr>
          <w:rFonts w:ascii="Times New Roman" w:eastAsia="Times New Roman" w:hAnsi="Times New Roman"/>
          <w:lang w:eastAsia="en-GB"/>
        </w:rPr>
        <w:t>curr</w:t>
      </w:r>
      <w:r w:rsidR="0056520D">
        <w:rPr>
          <w:rFonts w:ascii="Times New Roman" w:eastAsia="Times New Roman" w:hAnsi="Times New Roman"/>
          <w:lang w:eastAsia="en-GB"/>
        </w:rPr>
        <w:t xml:space="preserve">ed </w:t>
      </w:r>
      <w:r w:rsidR="004B5048">
        <w:rPr>
          <w:rFonts w:ascii="Times New Roman" w:eastAsia="Times New Roman" w:hAnsi="Times New Roman"/>
          <w:lang w:eastAsia="en-GB"/>
        </w:rPr>
        <w:t>a switch of alleageance within the political elites</w:t>
      </w:r>
      <w:r w:rsidR="0056520D">
        <w:rPr>
          <w:rFonts w:ascii="Times New Roman" w:eastAsia="Times New Roman" w:hAnsi="Times New Roman"/>
          <w:lang w:eastAsia="en-GB"/>
        </w:rPr>
        <w:t>, making the king suspicious of commercial influences</w:t>
      </w:r>
      <w:r w:rsidR="004B5048">
        <w:rPr>
          <w:rFonts w:ascii="Times New Roman" w:eastAsia="Times New Roman" w:hAnsi="Times New Roman"/>
          <w:lang w:eastAsia="en-GB"/>
        </w:rPr>
        <w:t>. (Butler, 1986).</w:t>
      </w:r>
    </w:p>
    <w:p w14:paraId="1E1E3253" w14:textId="77777777" w:rsidR="0056520D" w:rsidRDefault="0056520D" w:rsidP="0068443B">
      <w:pPr>
        <w:rPr>
          <w:rFonts w:ascii="Times New Roman" w:eastAsia="Times New Roman" w:hAnsi="Times New Roman"/>
          <w:lang w:eastAsia="en-GB"/>
        </w:rPr>
      </w:pPr>
    </w:p>
    <w:p w14:paraId="7B1BEE72" w14:textId="6132B54E" w:rsidR="0068443B" w:rsidRDefault="004B5048" w:rsidP="0068443B">
      <w:pPr>
        <w:rPr>
          <w:rFonts w:ascii="Times New Roman" w:hAnsi="Times New Roman"/>
        </w:rPr>
      </w:pPr>
      <w:r>
        <w:rPr>
          <w:rFonts w:ascii="Times New Roman" w:eastAsia="Times New Roman" w:hAnsi="Times New Roman"/>
          <w:lang w:eastAsia="en-GB"/>
        </w:rPr>
        <w:t xml:space="preserve">For example, the first royal charter was granted </w:t>
      </w:r>
      <w:r w:rsidR="0068443B">
        <w:rPr>
          <w:rFonts w:ascii="Times New Roman" w:eastAsia="Times New Roman" w:hAnsi="Times New Roman"/>
          <w:lang w:eastAsia="en-GB"/>
        </w:rPr>
        <w:t>in 1155 to the Weavers Company – currently the oldest chartered livery company in the City of London – because</w:t>
      </w:r>
      <w:r w:rsidR="0056520D">
        <w:rPr>
          <w:rFonts w:ascii="Times New Roman" w:eastAsia="Times New Roman" w:hAnsi="Times New Roman"/>
          <w:lang w:eastAsia="en-GB"/>
        </w:rPr>
        <w:t xml:space="preserve"> it agreed to make a contribution in return for the priveleges of the charter</w:t>
      </w:r>
      <w:r w:rsidR="0068443B">
        <w:rPr>
          <w:rFonts w:ascii="Times New Roman" w:eastAsia="Times New Roman" w:hAnsi="Times New Roman"/>
          <w:lang w:eastAsia="en-GB"/>
        </w:rPr>
        <w:t xml:space="preserve">. </w:t>
      </w:r>
      <w:r w:rsidR="0068443B">
        <w:rPr>
          <w:rFonts w:ascii="Times New Roman" w:hAnsi="Times New Roman"/>
          <w:lang w:val="en-US"/>
        </w:rPr>
        <w:t xml:space="preserve">As stated in its </w:t>
      </w:r>
      <w:hyperlink r:id="rId8" w:history="1">
        <w:r w:rsidR="0068443B" w:rsidRPr="00022DC4">
          <w:rPr>
            <w:rStyle w:val="Hyperlink"/>
            <w:rFonts w:ascii="Times New Roman" w:hAnsi="Times New Roman"/>
            <w:lang w:val="en-US"/>
          </w:rPr>
          <w:t>own website</w:t>
        </w:r>
      </w:hyperlink>
      <w:r w:rsidR="0068443B">
        <w:rPr>
          <w:rFonts w:ascii="Times New Roman" w:hAnsi="Times New Roman"/>
          <w:lang w:val="en-US"/>
        </w:rPr>
        <w:t>:</w:t>
      </w:r>
    </w:p>
    <w:p w14:paraId="62C995A0" w14:textId="2B3A0C25" w:rsidR="004B5048" w:rsidRDefault="0068443B" w:rsidP="0068443B">
      <w:pPr>
        <w:ind w:left="720"/>
        <w:rPr>
          <w:rFonts w:ascii="Times New Roman" w:hAnsi="Times New Roman"/>
        </w:rPr>
      </w:pPr>
      <w:r>
        <w:rPr>
          <w:rFonts w:ascii="Times New Roman" w:hAnsi="Times New Roman"/>
        </w:rPr>
        <w:t>“</w:t>
      </w:r>
      <w:r w:rsidRPr="0068443B">
        <w:rPr>
          <w:rFonts w:ascii="Times New Roman" w:hAnsi="Times New Roman"/>
        </w:rPr>
        <w:t xml:space="preserve">The Anglo Saxon word “gild” meant “payment” and the members’ subscriptions raised funds which could be used for </w:t>
      </w:r>
      <w:r w:rsidRPr="0068443B">
        <w:rPr>
          <w:rFonts w:ascii="Times New Roman" w:hAnsi="Times New Roman"/>
          <w:i/>
          <w:iCs/>
        </w:rPr>
        <w:t>social</w:t>
      </w:r>
      <w:r w:rsidRPr="0068443B">
        <w:rPr>
          <w:rFonts w:ascii="Times New Roman" w:hAnsi="Times New Roman"/>
        </w:rPr>
        <w:t xml:space="preserve">, </w:t>
      </w:r>
      <w:r w:rsidRPr="0068443B">
        <w:rPr>
          <w:rFonts w:ascii="Times New Roman" w:hAnsi="Times New Roman"/>
          <w:i/>
          <w:iCs/>
        </w:rPr>
        <w:t xml:space="preserve">charitable </w:t>
      </w:r>
      <w:r w:rsidRPr="0068443B">
        <w:rPr>
          <w:rFonts w:ascii="Times New Roman" w:hAnsi="Times New Roman"/>
        </w:rPr>
        <w:t xml:space="preserve">and trade purposes. One important use of the funds was </w:t>
      </w:r>
      <w:r w:rsidRPr="0068443B">
        <w:rPr>
          <w:rFonts w:ascii="Times New Roman" w:hAnsi="Times New Roman"/>
          <w:i/>
          <w:iCs/>
        </w:rPr>
        <w:t>to make a contribution to the Exchequer in return for which a charter confirming certain privileges, rights or liberties would be granted by the King</w:t>
      </w:r>
      <w:r w:rsidRPr="0068443B">
        <w:rPr>
          <w:rFonts w:ascii="Times New Roman" w:hAnsi="Times New Roman"/>
        </w:rPr>
        <w:t>. It is the recording of such a payment, the first for any guild, which establishes the Weavers as London’s oldest Company.</w:t>
      </w:r>
      <w:r>
        <w:rPr>
          <w:rFonts w:ascii="Times New Roman" w:hAnsi="Times New Roman"/>
        </w:rPr>
        <w:t>” (emphasis added)</w:t>
      </w:r>
    </w:p>
    <w:p w14:paraId="088AED50" w14:textId="77777777" w:rsidR="0056520D" w:rsidRDefault="0056520D" w:rsidP="0068443B">
      <w:pPr>
        <w:rPr>
          <w:rFonts w:ascii="Times New Roman" w:hAnsi="Times New Roman"/>
          <w:lang w:val="en-US"/>
        </w:rPr>
      </w:pPr>
    </w:p>
    <w:p w14:paraId="22DDB419" w14:textId="182DBE85" w:rsidR="0056520D" w:rsidRPr="0056520D" w:rsidRDefault="0056520D" w:rsidP="0068443B">
      <w:pPr>
        <w:rPr>
          <w:rFonts w:ascii="Times New Roman" w:eastAsia="Times New Roman" w:hAnsi="Times New Roman"/>
          <w:lang w:eastAsia="en-GB"/>
        </w:rPr>
      </w:pPr>
      <w:r>
        <w:rPr>
          <w:rFonts w:ascii="Times New Roman" w:eastAsia="Times New Roman" w:hAnsi="Times New Roman"/>
          <w:lang w:eastAsia="en-GB"/>
        </w:rPr>
        <w:t>As the intense lobbying for the same commercial charters and the ever heighteining risk of expropriation</w:t>
      </w:r>
      <w:r w:rsidR="00D2341F">
        <w:rPr>
          <w:rFonts w:ascii="Times New Roman" w:eastAsia="Times New Roman" w:hAnsi="Times New Roman"/>
          <w:lang w:eastAsia="en-GB"/>
        </w:rPr>
        <w:t xml:space="preserve"> remained present</w:t>
      </w:r>
      <w:r>
        <w:rPr>
          <w:rFonts w:ascii="Times New Roman" w:eastAsia="Times New Roman" w:hAnsi="Times New Roman"/>
          <w:lang w:eastAsia="en-GB"/>
        </w:rPr>
        <w:t xml:space="preserve">, it eventually dissuaded such requests, leading to an initial tendency to grant charters for corporations that engaged in “noncommercial” activities. (Seavoy, 1982) For example, the second royal charter was granted to the University of Cambridge in 1231, whereas the third royal charter was granted to University of Oxford in 1248. </w:t>
      </w:r>
    </w:p>
    <w:p w14:paraId="254D49EB" w14:textId="77777777" w:rsidR="0068443B" w:rsidRDefault="0068443B" w:rsidP="00AA22F8">
      <w:pPr>
        <w:rPr>
          <w:rFonts w:ascii="Times New Roman" w:hAnsi="Times New Roman"/>
          <w:lang w:val="en-US"/>
        </w:rPr>
      </w:pPr>
    </w:p>
    <w:p w14:paraId="5D18A287" w14:textId="1E681C37" w:rsidR="004B5048" w:rsidRDefault="00022DC4" w:rsidP="00022DC4">
      <w:pPr>
        <w:rPr>
          <w:rFonts w:ascii="Times New Roman" w:eastAsia="Times New Roman" w:hAnsi="Times New Roman"/>
          <w:lang w:eastAsia="en-GB"/>
        </w:rPr>
      </w:pPr>
      <w:r>
        <w:rPr>
          <w:rFonts w:ascii="Times New Roman" w:hAnsi="Times New Roman"/>
        </w:rPr>
        <w:t>While there were various criteria applied for the issuing of a royal charter, it becomes evident that one of the main condititions that</w:t>
      </w:r>
      <w:r w:rsidR="00D2341F">
        <w:rPr>
          <w:rFonts w:ascii="Times New Roman" w:hAnsi="Times New Roman"/>
        </w:rPr>
        <w:t xml:space="preserve"> is</w:t>
      </w:r>
      <w:r>
        <w:rPr>
          <w:rFonts w:ascii="Times New Roman" w:hAnsi="Times New Roman"/>
        </w:rPr>
        <w:t xml:space="preserve"> needed to be satisfied was a “public-oriented” sense of purpose for the corporation that is seeking the charter. As the charters were often given for specific periods of time, then it was imperitative to have a charter that specifically listed the activities of the firm. As capital lock-in was not yet invented</w:t>
      </w:r>
      <w:r w:rsidR="004B5048" w:rsidRPr="002C1532">
        <w:rPr>
          <w:rFonts w:ascii="Times New Roman" w:eastAsia="Times New Roman" w:hAnsi="Times New Roman"/>
          <w:lang w:eastAsia="en-GB"/>
        </w:rPr>
        <w:t xml:space="preserve"> (Dari-Mattiacci et al, 2017)</w:t>
      </w:r>
      <w:r>
        <w:rPr>
          <w:rFonts w:ascii="Times New Roman" w:eastAsia="Times New Roman" w:hAnsi="Times New Roman"/>
          <w:lang w:eastAsia="en-GB"/>
        </w:rPr>
        <w:t xml:space="preserve">, the corporation would have to be disolved after a certain amount of time, whether that was at the lapse of the charter or because the agreed purpose of the corporation had been fulfilled. As such, </w:t>
      </w:r>
      <w:r w:rsidR="004B5048" w:rsidRPr="002C1532">
        <w:rPr>
          <w:rFonts w:ascii="Times New Roman" w:eastAsia="Times New Roman" w:hAnsi="Times New Roman"/>
          <w:lang w:eastAsia="en-GB"/>
        </w:rPr>
        <w:t xml:space="preserve">most of the early English corporations </w:t>
      </w:r>
      <w:r>
        <w:rPr>
          <w:rFonts w:ascii="Times New Roman" w:eastAsia="Times New Roman" w:hAnsi="Times New Roman"/>
          <w:lang w:eastAsia="en-GB"/>
        </w:rPr>
        <w:t>were chartered</w:t>
      </w:r>
      <w:r w:rsidR="004B5048" w:rsidRPr="002C1532">
        <w:rPr>
          <w:rFonts w:ascii="Times New Roman" w:eastAsia="Times New Roman" w:hAnsi="Times New Roman"/>
          <w:lang w:eastAsia="en-GB"/>
        </w:rPr>
        <w:t xml:space="preserve"> for municipal, ecclesiastical, charitable, and educational purposes. (Seavoy, 1982) </w:t>
      </w:r>
    </w:p>
    <w:p w14:paraId="23634794" w14:textId="77777777" w:rsidR="007070BA" w:rsidRDefault="007070BA" w:rsidP="00491B01">
      <w:pPr>
        <w:rPr>
          <w:rFonts w:ascii="Times New Roman" w:eastAsia="Times New Roman" w:hAnsi="Times New Roman"/>
          <w:lang w:eastAsia="en-GB"/>
        </w:rPr>
      </w:pPr>
    </w:p>
    <w:p w14:paraId="57E9A238" w14:textId="0D58E234" w:rsidR="00491B01" w:rsidRDefault="00491B01" w:rsidP="00491B01">
      <w:pPr>
        <w:rPr>
          <w:rFonts w:ascii="Times New Roman" w:eastAsia="Times New Roman" w:hAnsi="Times New Roman"/>
          <w:lang w:eastAsia="en-GB"/>
        </w:rPr>
      </w:pPr>
      <w:r>
        <w:rPr>
          <w:rFonts w:ascii="Times New Roman" w:eastAsia="Times New Roman" w:hAnsi="Times New Roman"/>
          <w:lang w:eastAsia="en-GB"/>
        </w:rPr>
        <w:t>The vast land discoveries</w:t>
      </w:r>
      <w:r w:rsidR="00D2341F">
        <w:rPr>
          <w:rFonts w:ascii="Times New Roman" w:eastAsia="Times New Roman" w:hAnsi="Times New Roman"/>
          <w:lang w:eastAsia="en-GB"/>
        </w:rPr>
        <w:t xml:space="preserve"> during</w:t>
      </w:r>
      <w:r>
        <w:rPr>
          <w:rFonts w:ascii="Times New Roman" w:eastAsia="Times New Roman" w:hAnsi="Times New Roman"/>
          <w:lang w:eastAsia="en-GB"/>
        </w:rPr>
        <w:t xml:space="preserve"> the Age of Exploration, along with their porfitable trade routes and an emergence of mercantilist thought, led to a reconsideration of the royal charter. New forms of corporate forms were emerging, partly because of legal innovations </w:t>
      </w:r>
      <w:r w:rsidRPr="002C1532">
        <w:rPr>
          <w:rFonts w:ascii="Times New Roman" w:eastAsia="Times New Roman" w:hAnsi="Times New Roman"/>
          <w:lang w:eastAsia="en-GB"/>
        </w:rPr>
        <w:t>(Dari-Mattiacci et al, 2017)</w:t>
      </w:r>
      <w:r>
        <w:rPr>
          <w:rFonts w:ascii="Times New Roman" w:eastAsia="Times New Roman" w:hAnsi="Times New Roman"/>
          <w:lang w:eastAsia="en-GB"/>
        </w:rPr>
        <w:t xml:space="preserve"> and partly because of a new political elite largely composed of merchants who were keen to implement changes to spurr business growth. (Butler, 1986) </w:t>
      </w:r>
      <w:r w:rsidRPr="002C1532">
        <w:rPr>
          <w:rFonts w:ascii="Times New Roman" w:eastAsia="Times New Roman" w:hAnsi="Times New Roman"/>
          <w:lang w:eastAsia="en-GB"/>
        </w:rPr>
        <w:t xml:space="preserve">Part of the reason why governments obliged with such legal innovation was that the newly established corporations still fulfilled some sort of public purpose. For example, in the case of the Dutch East India Company (VOC) – the classic example offered to show the emergence of the corporate form, the corporation used its “pooled resources to contribute to the military advancement of Dutch interests overseas through various infrastructure investments”. (Dari-Mattiacci et al, 2017) Such practices started to become the norm </w:t>
      </w:r>
      <w:r>
        <w:rPr>
          <w:rFonts w:ascii="Times New Roman" w:eastAsia="Times New Roman" w:hAnsi="Times New Roman"/>
          <w:lang w:eastAsia="en-GB"/>
        </w:rPr>
        <w:t>also in the United Kingdom;</w:t>
      </w:r>
      <w:r w:rsidRPr="002C1532">
        <w:rPr>
          <w:rFonts w:ascii="Times New Roman" w:eastAsia="Times New Roman" w:hAnsi="Times New Roman"/>
          <w:lang w:eastAsia="en-GB"/>
        </w:rPr>
        <w:t xml:space="preserve"> in a comprehensive analysis of the English corporate law of that time, Stewart Kyd's </w:t>
      </w:r>
      <w:r w:rsidRPr="002C1532">
        <w:rPr>
          <w:rFonts w:ascii="Times New Roman" w:eastAsia="Times New Roman" w:hAnsi="Times New Roman"/>
          <w:i/>
          <w:iCs/>
          <w:lang w:eastAsia="en-GB"/>
        </w:rPr>
        <w:t xml:space="preserve">Treatise </w:t>
      </w:r>
      <w:r w:rsidRPr="002C1532">
        <w:rPr>
          <w:rFonts w:ascii="Times New Roman" w:eastAsia="Times New Roman" w:hAnsi="Times New Roman"/>
          <w:i/>
          <w:iCs/>
          <w:lang w:eastAsia="en-GB"/>
        </w:rPr>
        <w:lastRenderedPageBreak/>
        <w:t>on the Law of Corporations</w:t>
      </w:r>
      <w:r w:rsidRPr="002C1532">
        <w:rPr>
          <w:rFonts w:ascii="Times New Roman" w:eastAsia="Times New Roman" w:hAnsi="Times New Roman"/>
          <w:lang w:eastAsia="en-GB"/>
        </w:rPr>
        <w:t xml:space="preserve"> (1793) provided a more specific definition of corporations as "bodies politic," and identified their purpose as serving public or quasi-public infrastructure needs. (Guenther, 2019)</w:t>
      </w:r>
    </w:p>
    <w:p w14:paraId="5AFEAAEA" w14:textId="77777777" w:rsidR="00491B01" w:rsidRDefault="00491B01" w:rsidP="00491B01">
      <w:pPr>
        <w:rPr>
          <w:rFonts w:ascii="Times New Roman" w:eastAsia="Times New Roman" w:hAnsi="Times New Roman"/>
          <w:lang w:eastAsia="en-GB"/>
        </w:rPr>
      </w:pPr>
    </w:p>
    <w:p w14:paraId="64734ABE" w14:textId="77777777" w:rsidR="00491B01" w:rsidRDefault="00491B01" w:rsidP="00491B01">
      <w:pPr>
        <w:rPr>
          <w:rFonts w:ascii="Times New Roman" w:eastAsia="Times New Roman" w:hAnsi="Times New Roman"/>
          <w:lang w:eastAsia="en-GB"/>
        </w:rPr>
      </w:pPr>
    </w:p>
    <w:p w14:paraId="50A8AFBF" w14:textId="77777777" w:rsidR="00491B01" w:rsidRDefault="00491B01" w:rsidP="00491B01">
      <w:pPr>
        <w:rPr>
          <w:rFonts w:ascii="Times New Roman" w:eastAsia="Times New Roman" w:hAnsi="Times New Roman"/>
          <w:lang w:eastAsia="en-GB"/>
        </w:rPr>
      </w:pPr>
    </w:p>
    <w:p w14:paraId="0F3CA4B2" w14:textId="67E95F67" w:rsidR="00491B01" w:rsidRDefault="00491B01" w:rsidP="00491B01">
      <w:pPr>
        <w:rPr>
          <w:rFonts w:ascii="Times New Roman" w:eastAsia="Times New Roman" w:hAnsi="Times New Roman"/>
          <w:lang w:eastAsia="en-GB"/>
        </w:rPr>
      </w:pPr>
      <w:r>
        <w:rPr>
          <w:rFonts w:ascii="Times New Roman" w:eastAsia="Times New Roman" w:hAnsi="Times New Roman"/>
          <w:noProof/>
          <w:lang w:eastAsia="en-GB"/>
        </w:rPr>
        <w:drawing>
          <wp:inline distT="0" distB="0" distL="0" distR="0" wp14:anchorId="7EFDED12" wp14:editId="2FAD01C7">
            <wp:extent cx="5731510" cy="4429125"/>
            <wp:effectExtent l="0" t="0" r="0" b="0"/>
            <wp:docPr id="434527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527099" name="Picture 434527099"/>
                    <pic:cNvPicPr/>
                  </pic:nvPicPr>
                  <pic:blipFill>
                    <a:blip r:embed="rId9">
                      <a:extLst>
                        <a:ext uri="{28A0092B-C50C-407E-A947-70E740481C1C}">
                          <a14:useLocalDpi xmlns:a14="http://schemas.microsoft.com/office/drawing/2010/main" val="0"/>
                        </a:ext>
                      </a:extLst>
                    </a:blip>
                    <a:stretch>
                      <a:fillRect/>
                    </a:stretch>
                  </pic:blipFill>
                  <pic:spPr>
                    <a:xfrm>
                      <a:off x="0" y="0"/>
                      <a:ext cx="5731510" cy="4429125"/>
                    </a:xfrm>
                    <a:prstGeom prst="rect">
                      <a:avLst/>
                    </a:prstGeom>
                  </pic:spPr>
                </pic:pic>
              </a:graphicData>
            </a:graphic>
          </wp:inline>
        </w:drawing>
      </w:r>
    </w:p>
    <w:p w14:paraId="42C091DB" w14:textId="2FFBD40D" w:rsidR="007070BA" w:rsidRDefault="00491B01" w:rsidP="00022DC4">
      <w:pPr>
        <w:rPr>
          <w:rFonts w:ascii="Times New Roman" w:eastAsia="Times New Roman" w:hAnsi="Times New Roman"/>
          <w:lang w:eastAsia="en-GB"/>
        </w:rPr>
      </w:pPr>
      <w:r>
        <w:rPr>
          <w:rFonts w:ascii="Times New Roman" w:eastAsia="Times New Roman" w:hAnsi="Times New Roman"/>
          <w:lang w:eastAsia="en-GB"/>
        </w:rPr>
        <w:t xml:space="preserve">Figure 2. </w:t>
      </w:r>
      <w:r>
        <w:rPr>
          <w:rFonts w:ascii="Times New Roman" w:eastAsia="Times New Roman" w:hAnsi="Times New Roman"/>
          <w:lang w:eastAsia="en-GB"/>
        </w:rPr>
        <w:br/>
      </w:r>
      <w:r>
        <w:rPr>
          <w:rFonts w:ascii="Times New Roman" w:eastAsia="Times New Roman" w:hAnsi="Times New Roman"/>
          <w:lang w:eastAsia="en-GB"/>
        </w:rPr>
        <w:br/>
        <w:t>Figure 2 shows the distribution of</w:t>
      </w:r>
      <w:r w:rsidR="00D2341F">
        <w:rPr>
          <w:rFonts w:ascii="Times New Roman" w:eastAsia="Times New Roman" w:hAnsi="Times New Roman"/>
          <w:lang w:eastAsia="en-GB"/>
        </w:rPr>
        <w:t xml:space="preserve"> royal</w:t>
      </w:r>
      <w:r>
        <w:rPr>
          <w:rFonts w:ascii="Times New Roman" w:eastAsia="Times New Roman" w:hAnsi="Times New Roman"/>
          <w:lang w:eastAsia="en-GB"/>
        </w:rPr>
        <w:t xml:space="preserve"> charters by century</w:t>
      </w:r>
      <w:r w:rsidR="00D960CE">
        <w:rPr>
          <w:rFonts w:ascii="Times New Roman" w:eastAsia="Times New Roman" w:hAnsi="Times New Roman"/>
          <w:lang w:eastAsia="en-GB"/>
        </w:rPr>
        <w:t>. While there is a consistent growth in the number of royal charters granted each subsequent century, an outlier emerges. Part of such explanation can be the fact that from the end of the 17th century, monarchs lost most of their executive power, becoming increasingly subject to Parliament, which more often than not was composed by a new class of merchant elites, who most likely were quite familiar with the expropriation risk highlighed above. (Butler, 1986).</w:t>
      </w:r>
    </w:p>
    <w:p w14:paraId="3E63FDAB" w14:textId="77777777" w:rsidR="007070BA" w:rsidRDefault="007070BA" w:rsidP="00022DC4">
      <w:pPr>
        <w:rPr>
          <w:rFonts w:ascii="Times New Roman" w:eastAsia="Times New Roman" w:hAnsi="Times New Roman"/>
          <w:lang w:eastAsia="en-GB"/>
        </w:rPr>
      </w:pPr>
    </w:p>
    <w:p w14:paraId="4D01718B" w14:textId="45787876" w:rsidR="008E33E0" w:rsidRDefault="00D960CE" w:rsidP="00022DC4">
      <w:pPr>
        <w:rPr>
          <w:rFonts w:ascii="Times New Roman" w:eastAsia="Times New Roman" w:hAnsi="Times New Roman"/>
          <w:lang w:eastAsia="en-GB"/>
        </w:rPr>
      </w:pPr>
      <w:r>
        <w:rPr>
          <w:rFonts w:ascii="Times New Roman" w:eastAsia="Times New Roman" w:hAnsi="Times New Roman"/>
          <w:lang w:eastAsia="en-GB"/>
        </w:rPr>
        <w:t>Despite all of this, the royal charter remained attractive. As seen in Figure 3, when grouped by the decade, there is a relatively consistent growth of the number of royal charters issued, particularly starting the 1500s and the 1800s.</w:t>
      </w:r>
    </w:p>
    <w:p w14:paraId="348384BD" w14:textId="77777777" w:rsidR="00D960CE" w:rsidRDefault="00D960CE" w:rsidP="00022DC4">
      <w:pPr>
        <w:rPr>
          <w:rFonts w:ascii="Times New Roman" w:eastAsia="Times New Roman" w:hAnsi="Times New Roman"/>
          <w:lang w:eastAsia="en-GB"/>
        </w:rPr>
      </w:pPr>
    </w:p>
    <w:p w14:paraId="3E379966" w14:textId="77777777" w:rsidR="008E33E0" w:rsidRDefault="008E33E0" w:rsidP="00022DC4">
      <w:pPr>
        <w:rPr>
          <w:rFonts w:ascii="Times New Roman" w:eastAsia="Times New Roman" w:hAnsi="Times New Roman"/>
          <w:lang w:eastAsia="en-GB"/>
        </w:rPr>
      </w:pPr>
    </w:p>
    <w:p w14:paraId="34EE1E03" w14:textId="028E0934" w:rsidR="008E33E0" w:rsidRDefault="00491B01" w:rsidP="00022DC4">
      <w:pPr>
        <w:rPr>
          <w:rFonts w:ascii="Times New Roman" w:eastAsia="Times New Roman" w:hAnsi="Times New Roman"/>
          <w:lang w:eastAsia="en-GB"/>
        </w:rPr>
      </w:pPr>
      <w:r>
        <w:rPr>
          <w:rFonts w:ascii="Times New Roman" w:eastAsia="Times New Roman" w:hAnsi="Times New Roman"/>
          <w:noProof/>
          <w:lang w:eastAsia="en-GB"/>
        </w:rPr>
        <w:lastRenderedPageBreak/>
        <w:drawing>
          <wp:inline distT="0" distB="0" distL="0" distR="0" wp14:anchorId="1E03C864" wp14:editId="122B5629">
            <wp:extent cx="5671226" cy="4382539"/>
            <wp:effectExtent l="0" t="0" r="5715" b="0"/>
            <wp:docPr id="1229926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92684" name="Picture 122992684"/>
                    <pic:cNvPicPr/>
                  </pic:nvPicPr>
                  <pic:blipFill>
                    <a:blip r:embed="rId10">
                      <a:extLst>
                        <a:ext uri="{28A0092B-C50C-407E-A947-70E740481C1C}">
                          <a14:useLocalDpi xmlns:a14="http://schemas.microsoft.com/office/drawing/2010/main" val="0"/>
                        </a:ext>
                      </a:extLst>
                    </a:blip>
                    <a:stretch>
                      <a:fillRect/>
                    </a:stretch>
                  </pic:blipFill>
                  <pic:spPr>
                    <a:xfrm>
                      <a:off x="0" y="0"/>
                      <a:ext cx="5715001" cy="4416367"/>
                    </a:xfrm>
                    <a:prstGeom prst="rect">
                      <a:avLst/>
                    </a:prstGeom>
                  </pic:spPr>
                </pic:pic>
              </a:graphicData>
            </a:graphic>
          </wp:inline>
        </w:drawing>
      </w:r>
    </w:p>
    <w:p w14:paraId="263D5C91" w14:textId="0F0ED477" w:rsidR="008E33E0" w:rsidRDefault="008E33E0" w:rsidP="00022DC4">
      <w:pPr>
        <w:rPr>
          <w:rFonts w:ascii="Times New Roman" w:eastAsia="Times New Roman" w:hAnsi="Times New Roman"/>
          <w:lang w:eastAsia="en-GB"/>
        </w:rPr>
      </w:pPr>
    </w:p>
    <w:p w14:paraId="1B6F3CAF" w14:textId="51B7696F" w:rsidR="00022DC4" w:rsidRDefault="007070BA" w:rsidP="00022DC4">
      <w:pPr>
        <w:rPr>
          <w:rFonts w:ascii="Times New Roman" w:eastAsia="Times New Roman" w:hAnsi="Times New Roman"/>
          <w:lang w:eastAsia="en-GB"/>
        </w:rPr>
      </w:pPr>
      <w:r>
        <w:rPr>
          <w:rFonts w:ascii="Times New Roman" w:eastAsia="Times New Roman" w:hAnsi="Times New Roman"/>
          <w:lang w:eastAsia="en-GB"/>
        </w:rPr>
        <w:t xml:space="preserve">Figure </w:t>
      </w:r>
      <w:r w:rsidR="00D960CE">
        <w:rPr>
          <w:rFonts w:ascii="Times New Roman" w:eastAsia="Times New Roman" w:hAnsi="Times New Roman"/>
          <w:lang w:eastAsia="en-GB"/>
        </w:rPr>
        <w:t>3</w:t>
      </w:r>
      <w:r>
        <w:rPr>
          <w:rFonts w:ascii="Times New Roman" w:eastAsia="Times New Roman" w:hAnsi="Times New Roman"/>
          <w:lang w:eastAsia="en-GB"/>
        </w:rPr>
        <w:t>.</w:t>
      </w:r>
    </w:p>
    <w:p w14:paraId="7A4D12FD" w14:textId="77777777" w:rsidR="007070BA" w:rsidRDefault="007070BA" w:rsidP="00022DC4">
      <w:pPr>
        <w:rPr>
          <w:rFonts w:ascii="Times New Roman" w:eastAsia="Times New Roman" w:hAnsi="Times New Roman"/>
          <w:lang w:eastAsia="en-GB"/>
        </w:rPr>
      </w:pPr>
    </w:p>
    <w:p w14:paraId="4665EB65" w14:textId="1A845B35" w:rsidR="00491B01" w:rsidRDefault="00491B01" w:rsidP="00491B01">
      <w:pPr>
        <w:rPr>
          <w:rFonts w:ascii="Times New Roman" w:eastAsia="Times New Roman" w:hAnsi="Times New Roman"/>
          <w:lang w:eastAsia="en-GB"/>
        </w:rPr>
      </w:pPr>
      <w:r>
        <w:rPr>
          <w:rFonts w:ascii="Times New Roman" w:eastAsia="Times New Roman" w:hAnsi="Times New Roman"/>
          <w:lang w:eastAsia="en-GB"/>
        </w:rPr>
        <w:t>A breakdown of the data, from the highest to lowest, reveals the top five decades when most royal charters were issued:</w:t>
      </w:r>
    </w:p>
    <w:p w14:paraId="4F045709" w14:textId="77777777" w:rsidR="00491B01" w:rsidRDefault="00491B01" w:rsidP="00491B01">
      <w:pPr>
        <w:rPr>
          <w:rFonts w:ascii="Times New Roman" w:eastAsia="Times New Roman" w:hAnsi="Times New Roman"/>
          <w:lang w:eastAsia="en-GB"/>
        </w:rPr>
      </w:pPr>
    </w:p>
    <w:tbl>
      <w:tblPr>
        <w:tblStyle w:val="TableGrid"/>
        <w:tblW w:w="0" w:type="auto"/>
        <w:tblLook w:val="04A0" w:firstRow="1" w:lastRow="0" w:firstColumn="1" w:lastColumn="0" w:noHBand="0" w:noVBand="1"/>
      </w:tblPr>
      <w:tblGrid>
        <w:gridCol w:w="4508"/>
        <w:gridCol w:w="4508"/>
      </w:tblGrid>
      <w:tr w:rsidR="00491B01" w14:paraId="53FA792A" w14:textId="77777777" w:rsidTr="006E71A5">
        <w:tc>
          <w:tcPr>
            <w:tcW w:w="4508" w:type="dxa"/>
          </w:tcPr>
          <w:p w14:paraId="748BC9D6" w14:textId="77777777" w:rsidR="00491B01" w:rsidRPr="00924439" w:rsidRDefault="00491B01" w:rsidP="006E71A5">
            <w:pPr>
              <w:rPr>
                <w:rFonts w:ascii="Times New Roman" w:eastAsia="Times New Roman" w:hAnsi="Times New Roman"/>
                <w:b/>
                <w:bCs/>
                <w:lang w:eastAsia="en-GB"/>
              </w:rPr>
            </w:pPr>
            <w:r w:rsidRPr="00924439">
              <w:rPr>
                <w:rFonts w:ascii="Times New Roman" w:eastAsia="Times New Roman" w:hAnsi="Times New Roman"/>
                <w:b/>
                <w:bCs/>
                <w:lang w:eastAsia="en-GB"/>
              </w:rPr>
              <w:t>Decade</w:t>
            </w:r>
          </w:p>
        </w:tc>
        <w:tc>
          <w:tcPr>
            <w:tcW w:w="4508" w:type="dxa"/>
          </w:tcPr>
          <w:p w14:paraId="31CB0137" w14:textId="77777777" w:rsidR="00491B01" w:rsidRPr="00924439" w:rsidRDefault="00491B01" w:rsidP="006E71A5">
            <w:pPr>
              <w:rPr>
                <w:rFonts w:ascii="Times New Roman" w:eastAsia="Times New Roman" w:hAnsi="Times New Roman"/>
                <w:b/>
                <w:bCs/>
                <w:lang w:eastAsia="en-GB"/>
              </w:rPr>
            </w:pPr>
            <w:r>
              <w:rPr>
                <w:rFonts w:ascii="Times New Roman" w:eastAsia="Times New Roman" w:hAnsi="Times New Roman"/>
                <w:b/>
                <w:bCs/>
                <w:lang w:eastAsia="en-GB"/>
              </w:rPr>
              <w:t>Number of Royal Charters Issued</w:t>
            </w:r>
          </w:p>
        </w:tc>
      </w:tr>
      <w:tr w:rsidR="00491B01" w14:paraId="05B5BF77" w14:textId="77777777" w:rsidTr="006E71A5">
        <w:tc>
          <w:tcPr>
            <w:tcW w:w="4508" w:type="dxa"/>
          </w:tcPr>
          <w:p w14:paraId="4B072676" w14:textId="77777777" w:rsidR="00491B01" w:rsidRDefault="00491B01" w:rsidP="006E71A5">
            <w:pPr>
              <w:jc w:val="center"/>
              <w:rPr>
                <w:rFonts w:ascii="Times New Roman" w:eastAsia="Times New Roman" w:hAnsi="Times New Roman"/>
                <w:lang w:eastAsia="en-GB"/>
              </w:rPr>
            </w:pPr>
            <w:r>
              <w:rPr>
                <w:rFonts w:ascii="Times New Roman" w:eastAsia="Times New Roman" w:hAnsi="Times New Roman"/>
                <w:lang w:eastAsia="en-GB"/>
              </w:rPr>
              <w:t>1850</w:t>
            </w:r>
          </w:p>
        </w:tc>
        <w:tc>
          <w:tcPr>
            <w:tcW w:w="4508" w:type="dxa"/>
          </w:tcPr>
          <w:p w14:paraId="6C5B4D6A" w14:textId="77777777" w:rsidR="00491B01" w:rsidRDefault="00491B01" w:rsidP="006E71A5">
            <w:pPr>
              <w:jc w:val="center"/>
              <w:rPr>
                <w:rFonts w:ascii="Times New Roman" w:eastAsia="Times New Roman" w:hAnsi="Times New Roman"/>
                <w:lang w:eastAsia="en-GB"/>
              </w:rPr>
            </w:pPr>
            <w:r>
              <w:rPr>
                <w:rFonts w:ascii="Times New Roman" w:eastAsia="Times New Roman" w:hAnsi="Times New Roman"/>
                <w:lang w:eastAsia="en-GB"/>
              </w:rPr>
              <w:t>74</w:t>
            </w:r>
          </w:p>
        </w:tc>
      </w:tr>
      <w:tr w:rsidR="00491B01" w14:paraId="268D6D7F" w14:textId="77777777" w:rsidTr="006E71A5">
        <w:tc>
          <w:tcPr>
            <w:tcW w:w="4508" w:type="dxa"/>
          </w:tcPr>
          <w:p w14:paraId="287EF7B2" w14:textId="77777777" w:rsidR="00491B01" w:rsidRDefault="00491B01" w:rsidP="006E71A5">
            <w:pPr>
              <w:jc w:val="center"/>
              <w:rPr>
                <w:rFonts w:ascii="Times New Roman" w:eastAsia="Times New Roman" w:hAnsi="Times New Roman"/>
                <w:lang w:eastAsia="en-GB"/>
              </w:rPr>
            </w:pPr>
            <w:r>
              <w:rPr>
                <w:rFonts w:ascii="Times New Roman" w:eastAsia="Times New Roman" w:hAnsi="Times New Roman"/>
                <w:lang w:eastAsia="en-GB"/>
              </w:rPr>
              <w:t>1920</w:t>
            </w:r>
          </w:p>
        </w:tc>
        <w:tc>
          <w:tcPr>
            <w:tcW w:w="4508" w:type="dxa"/>
          </w:tcPr>
          <w:p w14:paraId="29F13BBC" w14:textId="77777777" w:rsidR="00491B01" w:rsidRDefault="00491B01" w:rsidP="006E71A5">
            <w:pPr>
              <w:jc w:val="center"/>
              <w:rPr>
                <w:rFonts w:ascii="Times New Roman" w:eastAsia="Times New Roman" w:hAnsi="Times New Roman"/>
                <w:lang w:eastAsia="en-GB"/>
              </w:rPr>
            </w:pPr>
            <w:r>
              <w:rPr>
                <w:rFonts w:ascii="Times New Roman" w:eastAsia="Times New Roman" w:hAnsi="Times New Roman"/>
                <w:lang w:eastAsia="en-GB"/>
              </w:rPr>
              <w:t>73</w:t>
            </w:r>
          </w:p>
        </w:tc>
      </w:tr>
      <w:tr w:rsidR="00491B01" w14:paraId="79E4E899" w14:textId="77777777" w:rsidTr="006E71A5">
        <w:tc>
          <w:tcPr>
            <w:tcW w:w="4508" w:type="dxa"/>
          </w:tcPr>
          <w:p w14:paraId="1AAE5E95" w14:textId="77777777" w:rsidR="00491B01" w:rsidRDefault="00491B01" w:rsidP="006E71A5">
            <w:pPr>
              <w:jc w:val="center"/>
              <w:rPr>
                <w:rFonts w:ascii="Times New Roman" w:eastAsia="Times New Roman" w:hAnsi="Times New Roman"/>
                <w:lang w:eastAsia="en-GB"/>
              </w:rPr>
            </w:pPr>
            <w:r>
              <w:rPr>
                <w:rFonts w:ascii="Times New Roman" w:eastAsia="Times New Roman" w:hAnsi="Times New Roman"/>
                <w:lang w:eastAsia="en-GB"/>
              </w:rPr>
              <w:t>1840</w:t>
            </w:r>
          </w:p>
        </w:tc>
        <w:tc>
          <w:tcPr>
            <w:tcW w:w="4508" w:type="dxa"/>
          </w:tcPr>
          <w:p w14:paraId="2E6F2B82" w14:textId="77777777" w:rsidR="00491B01" w:rsidRDefault="00491B01" w:rsidP="006E71A5">
            <w:pPr>
              <w:jc w:val="center"/>
              <w:rPr>
                <w:rFonts w:ascii="Times New Roman" w:eastAsia="Times New Roman" w:hAnsi="Times New Roman"/>
                <w:lang w:eastAsia="en-GB"/>
              </w:rPr>
            </w:pPr>
            <w:r>
              <w:rPr>
                <w:rFonts w:ascii="Times New Roman" w:eastAsia="Times New Roman" w:hAnsi="Times New Roman"/>
                <w:lang w:eastAsia="en-GB"/>
              </w:rPr>
              <w:t>57</w:t>
            </w:r>
          </w:p>
        </w:tc>
      </w:tr>
      <w:tr w:rsidR="00491B01" w14:paraId="13BD38C8" w14:textId="77777777" w:rsidTr="006E71A5">
        <w:tc>
          <w:tcPr>
            <w:tcW w:w="4508" w:type="dxa"/>
          </w:tcPr>
          <w:p w14:paraId="5DBC35A2" w14:textId="77777777" w:rsidR="00491B01" w:rsidRDefault="00491B01" w:rsidP="006E71A5">
            <w:pPr>
              <w:jc w:val="center"/>
              <w:rPr>
                <w:rFonts w:ascii="Times New Roman" w:eastAsia="Times New Roman" w:hAnsi="Times New Roman"/>
                <w:lang w:eastAsia="en-GB"/>
              </w:rPr>
            </w:pPr>
            <w:r>
              <w:rPr>
                <w:rFonts w:ascii="Times New Roman" w:eastAsia="Times New Roman" w:hAnsi="Times New Roman"/>
                <w:lang w:eastAsia="en-GB"/>
              </w:rPr>
              <w:t>1960</w:t>
            </w:r>
          </w:p>
        </w:tc>
        <w:tc>
          <w:tcPr>
            <w:tcW w:w="4508" w:type="dxa"/>
          </w:tcPr>
          <w:p w14:paraId="18627207" w14:textId="77777777" w:rsidR="00491B01" w:rsidRDefault="00491B01" w:rsidP="006E71A5">
            <w:pPr>
              <w:jc w:val="center"/>
              <w:rPr>
                <w:rFonts w:ascii="Times New Roman" w:eastAsia="Times New Roman" w:hAnsi="Times New Roman"/>
                <w:lang w:eastAsia="en-GB"/>
              </w:rPr>
            </w:pPr>
            <w:r>
              <w:rPr>
                <w:rFonts w:ascii="Times New Roman" w:eastAsia="Times New Roman" w:hAnsi="Times New Roman"/>
                <w:lang w:eastAsia="en-GB"/>
              </w:rPr>
              <w:t>56</w:t>
            </w:r>
          </w:p>
        </w:tc>
      </w:tr>
      <w:tr w:rsidR="00491B01" w14:paraId="698BADA4" w14:textId="77777777" w:rsidTr="006E71A5">
        <w:tc>
          <w:tcPr>
            <w:tcW w:w="4508" w:type="dxa"/>
          </w:tcPr>
          <w:p w14:paraId="5D381A02" w14:textId="77777777" w:rsidR="00491B01" w:rsidRDefault="00491B01" w:rsidP="006E71A5">
            <w:pPr>
              <w:jc w:val="center"/>
              <w:rPr>
                <w:rFonts w:ascii="Times New Roman" w:eastAsia="Times New Roman" w:hAnsi="Times New Roman"/>
                <w:lang w:eastAsia="en-GB"/>
              </w:rPr>
            </w:pPr>
            <w:r>
              <w:rPr>
                <w:rFonts w:ascii="Times New Roman" w:eastAsia="Times New Roman" w:hAnsi="Times New Roman"/>
                <w:lang w:eastAsia="en-GB"/>
              </w:rPr>
              <w:t>2010</w:t>
            </w:r>
          </w:p>
        </w:tc>
        <w:tc>
          <w:tcPr>
            <w:tcW w:w="4508" w:type="dxa"/>
          </w:tcPr>
          <w:p w14:paraId="4C4AB843" w14:textId="77777777" w:rsidR="00491B01" w:rsidRDefault="00491B01" w:rsidP="006E71A5">
            <w:pPr>
              <w:jc w:val="center"/>
              <w:rPr>
                <w:rFonts w:ascii="Times New Roman" w:eastAsia="Times New Roman" w:hAnsi="Times New Roman"/>
                <w:lang w:eastAsia="en-GB"/>
              </w:rPr>
            </w:pPr>
            <w:r>
              <w:rPr>
                <w:rFonts w:ascii="Times New Roman" w:eastAsia="Times New Roman" w:hAnsi="Times New Roman"/>
                <w:lang w:eastAsia="en-GB"/>
              </w:rPr>
              <w:t>54</w:t>
            </w:r>
          </w:p>
        </w:tc>
      </w:tr>
    </w:tbl>
    <w:p w14:paraId="67865DEE" w14:textId="77777777" w:rsidR="007070BA" w:rsidRDefault="007070BA" w:rsidP="00022DC4">
      <w:pPr>
        <w:rPr>
          <w:rFonts w:ascii="Times New Roman" w:eastAsia="Times New Roman" w:hAnsi="Times New Roman"/>
          <w:lang w:eastAsia="en-GB"/>
        </w:rPr>
      </w:pPr>
    </w:p>
    <w:p w14:paraId="298A2AC6" w14:textId="74E1D44A" w:rsidR="00491B01" w:rsidRDefault="00491B01" w:rsidP="00022DC4">
      <w:pPr>
        <w:rPr>
          <w:rFonts w:ascii="Times New Roman" w:eastAsia="Times New Roman" w:hAnsi="Times New Roman"/>
          <w:lang w:eastAsia="en-GB"/>
        </w:rPr>
      </w:pPr>
      <w:r>
        <w:rPr>
          <w:rFonts w:ascii="Times New Roman" w:eastAsia="Times New Roman" w:hAnsi="Times New Roman"/>
          <w:lang w:eastAsia="en-GB"/>
        </w:rPr>
        <w:t xml:space="preserve">Of particular interest here are the decades of </w:t>
      </w:r>
      <w:r w:rsidR="00D960CE">
        <w:rPr>
          <w:rFonts w:ascii="Times New Roman" w:eastAsia="Times New Roman" w:hAnsi="Times New Roman"/>
          <w:lang w:eastAsia="en-GB"/>
        </w:rPr>
        <w:t xml:space="preserve">1840 and 1850. This is not only because they are in the top five decades when most royal charters were issued, but because they also coincide with the period where the liberalization of the corporate form started to take place. For example, the United Kingdom’s Parliament passed the </w:t>
      </w:r>
      <w:r w:rsidR="00D960CE" w:rsidRPr="00AB4DB6">
        <w:rPr>
          <w:rFonts w:ascii="Times New Roman" w:eastAsia="Times New Roman" w:hAnsi="Times New Roman"/>
          <w:lang w:eastAsia="en-GB"/>
        </w:rPr>
        <w:t>Joint Stock Companies Act of 1844 (7 &amp; 8 Vict. c. 110</w:t>
      </w:r>
      <w:r w:rsidR="00D960CE">
        <w:rPr>
          <w:rFonts w:ascii="Times New Roman" w:eastAsia="Times New Roman" w:hAnsi="Times New Roman"/>
          <w:lang w:eastAsia="en-GB"/>
        </w:rPr>
        <w:t xml:space="preserve">), which </w:t>
      </w:r>
      <w:r w:rsidR="00D960CE" w:rsidRPr="00AB4DB6">
        <w:rPr>
          <w:rFonts w:ascii="Times New Roman" w:eastAsia="Times New Roman" w:hAnsi="Times New Roman"/>
          <w:lang w:eastAsia="en-GB"/>
        </w:rPr>
        <w:t>significantly broadened the possibilities for establishing joint-stock companies.</w:t>
      </w:r>
      <w:r w:rsidR="00DE7EC7">
        <w:rPr>
          <w:rFonts w:ascii="Times New Roman" w:eastAsia="Times New Roman" w:hAnsi="Times New Roman"/>
          <w:lang w:eastAsia="en-GB"/>
        </w:rPr>
        <w:t xml:space="preserve"> The Limited Liability Act of 1855 followed, along with the Joint Stock Companies Act of 1856, which basically allowed for the corporate form to be attained as a merely administrative procedure from now on. </w:t>
      </w:r>
    </w:p>
    <w:p w14:paraId="118EA593" w14:textId="77777777" w:rsidR="007070BA" w:rsidRDefault="007070BA" w:rsidP="00022DC4">
      <w:pPr>
        <w:rPr>
          <w:rFonts w:ascii="Times New Roman" w:eastAsia="Times New Roman" w:hAnsi="Times New Roman"/>
          <w:lang w:eastAsia="en-GB"/>
        </w:rPr>
      </w:pPr>
    </w:p>
    <w:p w14:paraId="1562AE13" w14:textId="0B185A4E" w:rsidR="00DE7EC7" w:rsidRPr="00FE692E" w:rsidRDefault="00DE7EC7" w:rsidP="00DE7EC7">
      <w:pPr>
        <w:rPr>
          <w:rFonts w:ascii="Times New Roman" w:eastAsia="Times New Roman" w:hAnsi="Times New Roman"/>
          <w:lang w:eastAsia="en-GB"/>
        </w:rPr>
      </w:pPr>
      <w:r>
        <w:rPr>
          <w:rFonts w:ascii="Times New Roman" w:eastAsia="Times New Roman" w:hAnsi="Times New Roman"/>
          <w:lang w:eastAsia="en-GB"/>
        </w:rPr>
        <w:t xml:space="preserve">As such, the grant of a royal charter “came to be </w:t>
      </w:r>
      <w:r w:rsidRPr="00FE692E">
        <w:rPr>
          <w:rFonts w:ascii="Times New Roman" w:hAnsi="Times New Roman"/>
        </w:rPr>
        <w:t>seen more as a special token of Royal favour or as a mark of distinction</w:t>
      </w:r>
      <w:r>
        <w:rPr>
          <w:rFonts w:ascii="Times New Roman" w:hAnsi="Times New Roman"/>
        </w:rPr>
        <w:t xml:space="preserve">.” (Privy Office, 2024). Looking at the graphs in Figure 2 and 3, one notices that such distinction was still sought out, particularly in the late 1900s. Such trend </w:t>
      </w:r>
      <w:r>
        <w:rPr>
          <w:rFonts w:ascii="Times New Roman" w:hAnsi="Times New Roman"/>
        </w:rPr>
        <w:lastRenderedPageBreak/>
        <w:t xml:space="preserve">might question the determination on whether the public-oriented nature of the purpose of the corporation, under royal charters, remained constant, even after commerical enterprises emerged or the corporate form was liberalized. According to the Privy Office, </w:t>
      </w:r>
      <w:r>
        <w:rPr>
          <w:rFonts w:ascii="Times New Roman" w:eastAsia="Times New Roman" w:hAnsi="Times New Roman"/>
          <w:lang w:eastAsia="en-GB"/>
        </w:rPr>
        <w:t>“</w:t>
      </w:r>
      <w:r w:rsidRPr="00FE692E">
        <w:rPr>
          <w:rFonts w:ascii="Times New Roman" w:hAnsi="Times New Roman"/>
        </w:rPr>
        <w:t xml:space="preserve">since the 1950s one of these criteria has been that the petitioner shall exist not solely to advance the interests of its members but also, and primarily, </w:t>
      </w:r>
      <w:r w:rsidRPr="00FE692E">
        <w:rPr>
          <w:rFonts w:ascii="Times New Roman" w:hAnsi="Times New Roman"/>
          <w:i/>
          <w:iCs/>
        </w:rPr>
        <w:t>to advance the public interest.</w:t>
      </w:r>
      <w:r w:rsidRPr="00DE7EC7">
        <w:rPr>
          <w:rFonts w:ascii="Times New Roman" w:hAnsi="Times New Roman"/>
          <w:i/>
          <w:iCs/>
        </w:rPr>
        <w:t>”</w:t>
      </w:r>
      <w:r>
        <w:rPr>
          <w:rFonts w:ascii="Times New Roman" w:hAnsi="Times New Roman"/>
        </w:rPr>
        <w:t xml:space="preserve"> (emphasis added)</w:t>
      </w:r>
    </w:p>
    <w:p w14:paraId="05BCD9FC" w14:textId="77777777" w:rsidR="00DE7EC7" w:rsidRDefault="00DE7EC7" w:rsidP="00DE7EC7">
      <w:pPr>
        <w:rPr>
          <w:rFonts w:ascii="Times New Roman" w:hAnsi="Times New Roman"/>
          <w:lang w:val="en-US"/>
        </w:rPr>
      </w:pPr>
    </w:p>
    <w:p w14:paraId="39034C2C" w14:textId="77777777" w:rsidR="00DE7EC7" w:rsidRDefault="00DE7EC7" w:rsidP="00DE7EC7">
      <w:pPr>
        <w:rPr>
          <w:rFonts w:ascii="Times New Roman" w:hAnsi="Times New Roman"/>
          <w:lang w:val="en-US"/>
        </w:rPr>
      </w:pPr>
    </w:p>
    <w:p w14:paraId="6D3DA889" w14:textId="77777777" w:rsidR="00DE7EC7" w:rsidRDefault="00DE7EC7" w:rsidP="00022DC4">
      <w:pPr>
        <w:rPr>
          <w:rFonts w:ascii="Times New Roman" w:eastAsia="Times New Roman" w:hAnsi="Times New Roman"/>
          <w:lang w:eastAsia="en-GB"/>
        </w:rPr>
      </w:pPr>
    </w:p>
    <w:p w14:paraId="342D83B7" w14:textId="4526EB5F" w:rsidR="00854918" w:rsidRPr="005C6EB0" w:rsidRDefault="004D468A" w:rsidP="00AA22F8">
      <w:pPr>
        <w:rPr>
          <w:rFonts w:ascii="Times New Roman" w:hAnsi="Times New Roman"/>
          <w:lang w:val="en-US"/>
        </w:rPr>
      </w:pPr>
      <w:r w:rsidRPr="005C6EB0">
        <w:rPr>
          <w:rFonts w:ascii="Times New Roman" w:hAnsi="Times New Roman"/>
          <w:lang w:val="en-US"/>
        </w:rPr>
        <w:t xml:space="preserve"> </w:t>
      </w:r>
    </w:p>
    <w:sectPr w:rsidR="00854918" w:rsidRPr="005C6EB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E9F9" w14:textId="77777777" w:rsidR="00E8233D" w:rsidRDefault="00E8233D" w:rsidP="00D960CE">
      <w:r>
        <w:separator/>
      </w:r>
    </w:p>
  </w:endnote>
  <w:endnote w:type="continuationSeparator" w:id="0">
    <w:p w14:paraId="7CA3F21B" w14:textId="77777777" w:rsidR="00E8233D" w:rsidRDefault="00E8233D" w:rsidP="00D9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548452"/>
      <w:docPartObj>
        <w:docPartGallery w:val="Page Numbers (Bottom of Page)"/>
        <w:docPartUnique/>
      </w:docPartObj>
    </w:sdtPr>
    <w:sdtContent>
      <w:p w14:paraId="537DE18F" w14:textId="6C8283DE" w:rsidR="00D960CE" w:rsidRDefault="00D960CE" w:rsidP="003D64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0DFBB4" w14:textId="77777777" w:rsidR="00D960CE" w:rsidRDefault="00D960CE" w:rsidP="00D960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6712723"/>
      <w:docPartObj>
        <w:docPartGallery w:val="Page Numbers (Bottom of Page)"/>
        <w:docPartUnique/>
      </w:docPartObj>
    </w:sdtPr>
    <w:sdtContent>
      <w:p w14:paraId="1EF83CD9" w14:textId="290C3230" w:rsidR="00D960CE" w:rsidRDefault="00D960CE" w:rsidP="003D64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30F373" w14:textId="77777777" w:rsidR="00D960CE" w:rsidRDefault="00D960CE" w:rsidP="00D960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9187" w14:textId="77777777" w:rsidR="00E8233D" w:rsidRDefault="00E8233D" w:rsidP="00D960CE">
      <w:r>
        <w:separator/>
      </w:r>
    </w:p>
  </w:footnote>
  <w:footnote w:type="continuationSeparator" w:id="0">
    <w:p w14:paraId="10CF26D8" w14:textId="77777777" w:rsidR="00E8233D" w:rsidRDefault="00E8233D" w:rsidP="00D9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10362"/>
    <w:multiLevelType w:val="hybridMultilevel"/>
    <w:tmpl w:val="938A9E2A"/>
    <w:lvl w:ilvl="0" w:tplc="D706BFD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4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F8"/>
    <w:rsid w:val="00000720"/>
    <w:rsid w:val="00022DC4"/>
    <w:rsid w:val="00137F2F"/>
    <w:rsid w:val="00263321"/>
    <w:rsid w:val="0029621A"/>
    <w:rsid w:val="002E1490"/>
    <w:rsid w:val="00420519"/>
    <w:rsid w:val="00491B01"/>
    <w:rsid w:val="004943E5"/>
    <w:rsid w:val="004B0E61"/>
    <w:rsid w:val="004B5048"/>
    <w:rsid w:val="004D468A"/>
    <w:rsid w:val="00533857"/>
    <w:rsid w:val="0056520D"/>
    <w:rsid w:val="005C6EB0"/>
    <w:rsid w:val="0068443B"/>
    <w:rsid w:val="006939FA"/>
    <w:rsid w:val="007070BA"/>
    <w:rsid w:val="007546C5"/>
    <w:rsid w:val="00782AF5"/>
    <w:rsid w:val="00854918"/>
    <w:rsid w:val="008B7D48"/>
    <w:rsid w:val="008E33E0"/>
    <w:rsid w:val="00924439"/>
    <w:rsid w:val="00941E00"/>
    <w:rsid w:val="009518C2"/>
    <w:rsid w:val="0097480E"/>
    <w:rsid w:val="00AA22F8"/>
    <w:rsid w:val="00AD0D65"/>
    <w:rsid w:val="00BB0749"/>
    <w:rsid w:val="00C12F31"/>
    <w:rsid w:val="00D2341F"/>
    <w:rsid w:val="00D94717"/>
    <w:rsid w:val="00D960CE"/>
    <w:rsid w:val="00DE7DE0"/>
    <w:rsid w:val="00DE7EC7"/>
    <w:rsid w:val="00E12CC9"/>
    <w:rsid w:val="00E42D04"/>
    <w:rsid w:val="00E8233D"/>
    <w:rsid w:val="00F179DC"/>
    <w:rsid w:val="00FE692E"/>
    <w:rsid w:val="00FF333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AE43F3B"/>
  <w15:chartTrackingRefBased/>
  <w15:docId w15:val="{CB3D9818-3F15-4B4C-B55C-D493B3CB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2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22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22F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22F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A22F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A22F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A22F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A22F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A22F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2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22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22F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22F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A22F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A22F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A22F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A22F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A22F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A22F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22F8"/>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22F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A22F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A22F8"/>
    <w:rPr>
      <w:i/>
      <w:iCs/>
      <w:color w:val="404040" w:themeColor="text1" w:themeTint="BF"/>
    </w:rPr>
  </w:style>
  <w:style w:type="paragraph" w:styleId="ListParagraph">
    <w:name w:val="List Paragraph"/>
    <w:basedOn w:val="Normal"/>
    <w:uiPriority w:val="34"/>
    <w:qFormat/>
    <w:rsid w:val="00AA22F8"/>
    <w:pPr>
      <w:ind w:left="720"/>
      <w:contextualSpacing/>
    </w:pPr>
  </w:style>
  <w:style w:type="character" w:styleId="IntenseEmphasis">
    <w:name w:val="Intense Emphasis"/>
    <w:basedOn w:val="DefaultParagraphFont"/>
    <w:uiPriority w:val="21"/>
    <w:qFormat/>
    <w:rsid w:val="00AA22F8"/>
    <w:rPr>
      <w:i/>
      <w:iCs/>
      <w:color w:val="0F4761" w:themeColor="accent1" w:themeShade="BF"/>
    </w:rPr>
  </w:style>
  <w:style w:type="paragraph" w:styleId="IntenseQuote">
    <w:name w:val="Intense Quote"/>
    <w:basedOn w:val="Normal"/>
    <w:next w:val="Normal"/>
    <w:link w:val="IntenseQuoteChar"/>
    <w:uiPriority w:val="30"/>
    <w:qFormat/>
    <w:rsid w:val="00AA22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22F8"/>
    <w:rPr>
      <w:i/>
      <w:iCs/>
      <w:color w:val="0F4761" w:themeColor="accent1" w:themeShade="BF"/>
    </w:rPr>
  </w:style>
  <w:style w:type="character" w:styleId="IntenseReference">
    <w:name w:val="Intense Reference"/>
    <w:basedOn w:val="DefaultParagraphFont"/>
    <w:uiPriority w:val="32"/>
    <w:qFormat/>
    <w:rsid w:val="00AA22F8"/>
    <w:rPr>
      <w:b/>
      <w:bCs/>
      <w:smallCaps/>
      <w:color w:val="0F4761" w:themeColor="accent1" w:themeShade="BF"/>
      <w:spacing w:val="5"/>
    </w:rPr>
  </w:style>
  <w:style w:type="paragraph" w:styleId="NormalWeb">
    <w:name w:val="Normal (Web)"/>
    <w:basedOn w:val="Normal"/>
    <w:uiPriority w:val="99"/>
    <w:semiHidden/>
    <w:unhideWhenUsed/>
    <w:rsid w:val="00782AF5"/>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022DC4"/>
    <w:rPr>
      <w:color w:val="467886" w:themeColor="hyperlink"/>
      <w:u w:val="single"/>
    </w:rPr>
  </w:style>
  <w:style w:type="character" w:styleId="UnresolvedMention">
    <w:name w:val="Unresolved Mention"/>
    <w:basedOn w:val="DefaultParagraphFont"/>
    <w:uiPriority w:val="99"/>
    <w:semiHidden/>
    <w:unhideWhenUsed/>
    <w:rsid w:val="00022DC4"/>
    <w:rPr>
      <w:color w:val="605E5C"/>
      <w:shd w:val="clear" w:color="auto" w:fill="E1DFDD"/>
    </w:rPr>
  </w:style>
  <w:style w:type="table" w:styleId="TableGrid">
    <w:name w:val="Table Grid"/>
    <w:basedOn w:val="TableNormal"/>
    <w:uiPriority w:val="39"/>
    <w:rsid w:val="0070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60CE"/>
    <w:pPr>
      <w:tabs>
        <w:tab w:val="center" w:pos="4513"/>
        <w:tab w:val="right" w:pos="9026"/>
      </w:tabs>
    </w:pPr>
  </w:style>
  <w:style w:type="character" w:customStyle="1" w:styleId="FooterChar">
    <w:name w:val="Footer Char"/>
    <w:basedOn w:val="DefaultParagraphFont"/>
    <w:link w:val="Footer"/>
    <w:uiPriority w:val="99"/>
    <w:rsid w:val="00D960CE"/>
  </w:style>
  <w:style w:type="character" w:styleId="PageNumber">
    <w:name w:val="page number"/>
    <w:basedOn w:val="DefaultParagraphFont"/>
    <w:uiPriority w:val="99"/>
    <w:semiHidden/>
    <w:unhideWhenUsed/>
    <w:rsid w:val="00D9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263">
      <w:bodyDiv w:val="1"/>
      <w:marLeft w:val="0"/>
      <w:marRight w:val="0"/>
      <w:marTop w:val="0"/>
      <w:marBottom w:val="0"/>
      <w:divBdr>
        <w:top w:val="none" w:sz="0" w:space="0" w:color="auto"/>
        <w:left w:val="none" w:sz="0" w:space="0" w:color="auto"/>
        <w:bottom w:val="none" w:sz="0" w:space="0" w:color="auto"/>
        <w:right w:val="none" w:sz="0" w:space="0" w:color="auto"/>
      </w:divBdr>
      <w:divsChild>
        <w:div w:id="1107195085">
          <w:marLeft w:val="0"/>
          <w:marRight w:val="0"/>
          <w:marTop w:val="0"/>
          <w:marBottom w:val="0"/>
          <w:divBdr>
            <w:top w:val="none" w:sz="0" w:space="0" w:color="auto"/>
            <w:left w:val="none" w:sz="0" w:space="0" w:color="auto"/>
            <w:bottom w:val="none" w:sz="0" w:space="0" w:color="auto"/>
            <w:right w:val="none" w:sz="0" w:space="0" w:color="auto"/>
          </w:divBdr>
          <w:divsChild>
            <w:div w:id="1122117660">
              <w:marLeft w:val="0"/>
              <w:marRight w:val="0"/>
              <w:marTop w:val="0"/>
              <w:marBottom w:val="0"/>
              <w:divBdr>
                <w:top w:val="none" w:sz="0" w:space="0" w:color="auto"/>
                <w:left w:val="none" w:sz="0" w:space="0" w:color="auto"/>
                <w:bottom w:val="none" w:sz="0" w:space="0" w:color="auto"/>
                <w:right w:val="none" w:sz="0" w:space="0" w:color="auto"/>
              </w:divBdr>
              <w:divsChild>
                <w:div w:id="8101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6466">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7">
          <w:marLeft w:val="0"/>
          <w:marRight w:val="0"/>
          <w:marTop w:val="0"/>
          <w:marBottom w:val="0"/>
          <w:divBdr>
            <w:top w:val="none" w:sz="0" w:space="0" w:color="auto"/>
            <w:left w:val="none" w:sz="0" w:space="0" w:color="auto"/>
            <w:bottom w:val="none" w:sz="0" w:space="0" w:color="auto"/>
            <w:right w:val="none" w:sz="0" w:space="0" w:color="auto"/>
          </w:divBdr>
          <w:divsChild>
            <w:div w:id="59210956">
              <w:marLeft w:val="0"/>
              <w:marRight w:val="0"/>
              <w:marTop w:val="0"/>
              <w:marBottom w:val="0"/>
              <w:divBdr>
                <w:top w:val="none" w:sz="0" w:space="0" w:color="auto"/>
                <w:left w:val="none" w:sz="0" w:space="0" w:color="auto"/>
                <w:bottom w:val="none" w:sz="0" w:space="0" w:color="auto"/>
                <w:right w:val="none" w:sz="0" w:space="0" w:color="auto"/>
              </w:divBdr>
              <w:divsChild>
                <w:div w:id="877281114">
                  <w:marLeft w:val="0"/>
                  <w:marRight w:val="0"/>
                  <w:marTop w:val="0"/>
                  <w:marBottom w:val="0"/>
                  <w:divBdr>
                    <w:top w:val="none" w:sz="0" w:space="0" w:color="auto"/>
                    <w:left w:val="none" w:sz="0" w:space="0" w:color="auto"/>
                    <w:bottom w:val="none" w:sz="0" w:space="0" w:color="auto"/>
                    <w:right w:val="none" w:sz="0" w:space="0" w:color="auto"/>
                  </w:divBdr>
                </w:div>
              </w:divsChild>
            </w:div>
            <w:div w:id="323515962">
              <w:marLeft w:val="0"/>
              <w:marRight w:val="0"/>
              <w:marTop w:val="0"/>
              <w:marBottom w:val="0"/>
              <w:divBdr>
                <w:top w:val="none" w:sz="0" w:space="0" w:color="auto"/>
                <w:left w:val="none" w:sz="0" w:space="0" w:color="auto"/>
                <w:bottom w:val="none" w:sz="0" w:space="0" w:color="auto"/>
                <w:right w:val="none" w:sz="0" w:space="0" w:color="auto"/>
              </w:divBdr>
              <w:divsChild>
                <w:div w:id="1075782589">
                  <w:marLeft w:val="0"/>
                  <w:marRight w:val="0"/>
                  <w:marTop w:val="0"/>
                  <w:marBottom w:val="0"/>
                  <w:divBdr>
                    <w:top w:val="none" w:sz="0" w:space="0" w:color="auto"/>
                    <w:left w:val="none" w:sz="0" w:space="0" w:color="auto"/>
                    <w:bottom w:val="none" w:sz="0" w:space="0" w:color="auto"/>
                    <w:right w:val="none" w:sz="0" w:space="0" w:color="auto"/>
                  </w:divBdr>
                </w:div>
              </w:divsChild>
            </w:div>
            <w:div w:id="1613436908">
              <w:marLeft w:val="0"/>
              <w:marRight w:val="0"/>
              <w:marTop w:val="0"/>
              <w:marBottom w:val="0"/>
              <w:divBdr>
                <w:top w:val="none" w:sz="0" w:space="0" w:color="auto"/>
                <w:left w:val="none" w:sz="0" w:space="0" w:color="auto"/>
                <w:bottom w:val="none" w:sz="0" w:space="0" w:color="auto"/>
                <w:right w:val="none" w:sz="0" w:space="0" w:color="auto"/>
              </w:divBdr>
              <w:divsChild>
                <w:div w:id="1021007086">
                  <w:marLeft w:val="0"/>
                  <w:marRight w:val="0"/>
                  <w:marTop w:val="0"/>
                  <w:marBottom w:val="0"/>
                  <w:divBdr>
                    <w:top w:val="none" w:sz="0" w:space="0" w:color="auto"/>
                    <w:left w:val="none" w:sz="0" w:space="0" w:color="auto"/>
                    <w:bottom w:val="none" w:sz="0" w:space="0" w:color="auto"/>
                    <w:right w:val="none" w:sz="0" w:space="0" w:color="auto"/>
                  </w:divBdr>
                </w:div>
              </w:divsChild>
            </w:div>
            <w:div w:id="403264811">
              <w:marLeft w:val="0"/>
              <w:marRight w:val="0"/>
              <w:marTop w:val="0"/>
              <w:marBottom w:val="0"/>
              <w:divBdr>
                <w:top w:val="none" w:sz="0" w:space="0" w:color="auto"/>
                <w:left w:val="none" w:sz="0" w:space="0" w:color="auto"/>
                <w:bottom w:val="none" w:sz="0" w:space="0" w:color="auto"/>
                <w:right w:val="none" w:sz="0" w:space="0" w:color="auto"/>
              </w:divBdr>
              <w:divsChild>
                <w:div w:id="1096247030">
                  <w:marLeft w:val="0"/>
                  <w:marRight w:val="0"/>
                  <w:marTop w:val="0"/>
                  <w:marBottom w:val="0"/>
                  <w:divBdr>
                    <w:top w:val="none" w:sz="0" w:space="0" w:color="auto"/>
                    <w:left w:val="none" w:sz="0" w:space="0" w:color="auto"/>
                    <w:bottom w:val="none" w:sz="0" w:space="0" w:color="auto"/>
                    <w:right w:val="none" w:sz="0" w:space="0" w:color="auto"/>
                  </w:divBdr>
                </w:div>
              </w:divsChild>
            </w:div>
            <w:div w:id="2101944288">
              <w:marLeft w:val="0"/>
              <w:marRight w:val="0"/>
              <w:marTop w:val="0"/>
              <w:marBottom w:val="0"/>
              <w:divBdr>
                <w:top w:val="none" w:sz="0" w:space="0" w:color="auto"/>
                <w:left w:val="none" w:sz="0" w:space="0" w:color="auto"/>
                <w:bottom w:val="none" w:sz="0" w:space="0" w:color="auto"/>
                <w:right w:val="none" w:sz="0" w:space="0" w:color="auto"/>
              </w:divBdr>
              <w:divsChild>
                <w:div w:id="117997283">
                  <w:marLeft w:val="0"/>
                  <w:marRight w:val="0"/>
                  <w:marTop w:val="0"/>
                  <w:marBottom w:val="0"/>
                  <w:divBdr>
                    <w:top w:val="none" w:sz="0" w:space="0" w:color="auto"/>
                    <w:left w:val="none" w:sz="0" w:space="0" w:color="auto"/>
                    <w:bottom w:val="none" w:sz="0" w:space="0" w:color="auto"/>
                    <w:right w:val="none" w:sz="0" w:space="0" w:color="auto"/>
                  </w:divBdr>
                </w:div>
              </w:divsChild>
            </w:div>
            <w:div w:id="162477488">
              <w:marLeft w:val="0"/>
              <w:marRight w:val="0"/>
              <w:marTop w:val="0"/>
              <w:marBottom w:val="0"/>
              <w:divBdr>
                <w:top w:val="none" w:sz="0" w:space="0" w:color="auto"/>
                <w:left w:val="none" w:sz="0" w:space="0" w:color="auto"/>
                <w:bottom w:val="none" w:sz="0" w:space="0" w:color="auto"/>
                <w:right w:val="none" w:sz="0" w:space="0" w:color="auto"/>
              </w:divBdr>
              <w:divsChild>
                <w:div w:id="1617521939">
                  <w:marLeft w:val="0"/>
                  <w:marRight w:val="0"/>
                  <w:marTop w:val="0"/>
                  <w:marBottom w:val="0"/>
                  <w:divBdr>
                    <w:top w:val="none" w:sz="0" w:space="0" w:color="auto"/>
                    <w:left w:val="none" w:sz="0" w:space="0" w:color="auto"/>
                    <w:bottom w:val="none" w:sz="0" w:space="0" w:color="auto"/>
                    <w:right w:val="none" w:sz="0" w:space="0" w:color="auto"/>
                  </w:divBdr>
                </w:div>
              </w:divsChild>
            </w:div>
            <w:div w:id="220407193">
              <w:marLeft w:val="0"/>
              <w:marRight w:val="0"/>
              <w:marTop w:val="0"/>
              <w:marBottom w:val="0"/>
              <w:divBdr>
                <w:top w:val="none" w:sz="0" w:space="0" w:color="auto"/>
                <w:left w:val="none" w:sz="0" w:space="0" w:color="auto"/>
                <w:bottom w:val="none" w:sz="0" w:space="0" w:color="auto"/>
                <w:right w:val="none" w:sz="0" w:space="0" w:color="auto"/>
              </w:divBdr>
              <w:divsChild>
                <w:div w:id="851142387">
                  <w:marLeft w:val="0"/>
                  <w:marRight w:val="0"/>
                  <w:marTop w:val="0"/>
                  <w:marBottom w:val="0"/>
                  <w:divBdr>
                    <w:top w:val="none" w:sz="0" w:space="0" w:color="auto"/>
                    <w:left w:val="none" w:sz="0" w:space="0" w:color="auto"/>
                    <w:bottom w:val="none" w:sz="0" w:space="0" w:color="auto"/>
                    <w:right w:val="none" w:sz="0" w:space="0" w:color="auto"/>
                  </w:divBdr>
                </w:div>
              </w:divsChild>
            </w:div>
            <w:div w:id="883951308">
              <w:marLeft w:val="0"/>
              <w:marRight w:val="0"/>
              <w:marTop w:val="0"/>
              <w:marBottom w:val="0"/>
              <w:divBdr>
                <w:top w:val="none" w:sz="0" w:space="0" w:color="auto"/>
                <w:left w:val="none" w:sz="0" w:space="0" w:color="auto"/>
                <w:bottom w:val="none" w:sz="0" w:space="0" w:color="auto"/>
                <w:right w:val="none" w:sz="0" w:space="0" w:color="auto"/>
              </w:divBdr>
              <w:divsChild>
                <w:div w:id="21005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61844">
      <w:bodyDiv w:val="1"/>
      <w:marLeft w:val="0"/>
      <w:marRight w:val="0"/>
      <w:marTop w:val="0"/>
      <w:marBottom w:val="0"/>
      <w:divBdr>
        <w:top w:val="none" w:sz="0" w:space="0" w:color="auto"/>
        <w:left w:val="none" w:sz="0" w:space="0" w:color="auto"/>
        <w:bottom w:val="none" w:sz="0" w:space="0" w:color="auto"/>
        <w:right w:val="none" w:sz="0" w:space="0" w:color="auto"/>
      </w:divBdr>
    </w:div>
    <w:div w:id="611789649">
      <w:bodyDiv w:val="1"/>
      <w:marLeft w:val="0"/>
      <w:marRight w:val="0"/>
      <w:marTop w:val="0"/>
      <w:marBottom w:val="0"/>
      <w:divBdr>
        <w:top w:val="none" w:sz="0" w:space="0" w:color="auto"/>
        <w:left w:val="none" w:sz="0" w:space="0" w:color="auto"/>
        <w:bottom w:val="none" w:sz="0" w:space="0" w:color="auto"/>
        <w:right w:val="none" w:sz="0" w:space="0" w:color="auto"/>
      </w:divBdr>
      <w:divsChild>
        <w:div w:id="1726634999">
          <w:marLeft w:val="0"/>
          <w:marRight w:val="0"/>
          <w:marTop w:val="0"/>
          <w:marBottom w:val="0"/>
          <w:divBdr>
            <w:top w:val="none" w:sz="0" w:space="0" w:color="auto"/>
            <w:left w:val="none" w:sz="0" w:space="0" w:color="auto"/>
            <w:bottom w:val="none" w:sz="0" w:space="0" w:color="auto"/>
            <w:right w:val="none" w:sz="0" w:space="0" w:color="auto"/>
          </w:divBdr>
          <w:divsChild>
            <w:div w:id="1586305449">
              <w:marLeft w:val="0"/>
              <w:marRight w:val="0"/>
              <w:marTop w:val="0"/>
              <w:marBottom w:val="0"/>
              <w:divBdr>
                <w:top w:val="none" w:sz="0" w:space="0" w:color="auto"/>
                <w:left w:val="none" w:sz="0" w:space="0" w:color="auto"/>
                <w:bottom w:val="none" w:sz="0" w:space="0" w:color="auto"/>
                <w:right w:val="none" w:sz="0" w:space="0" w:color="auto"/>
              </w:divBdr>
              <w:divsChild>
                <w:div w:id="7209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2019">
      <w:bodyDiv w:val="1"/>
      <w:marLeft w:val="0"/>
      <w:marRight w:val="0"/>
      <w:marTop w:val="0"/>
      <w:marBottom w:val="0"/>
      <w:divBdr>
        <w:top w:val="none" w:sz="0" w:space="0" w:color="auto"/>
        <w:left w:val="none" w:sz="0" w:space="0" w:color="auto"/>
        <w:bottom w:val="none" w:sz="0" w:space="0" w:color="auto"/>
        <w:right w:val="none" w:sz="0" w:space="0" w:color="auto"/>
      </w:divBdr>
    </w:div>
    <w:div w:id="1802962324">
      <w:bodyDiv w:val="1"/>
      <w:marLeft w:val="0"/>
      <w:marRight w:val="0"/>
      <w:marTop w:val="0"/>
      <w:marBottom w:val="0"/>
      <w:divBdr>
        <w:top w:val="none" w:sz="0" w:space="0" w:color="auto"/>
        <w:left w:val="none" w:sz="0" w:space="0" w:color="auto"/>
        <w:bottom w:val="none" w:sz="0" w:space="0" w:color="auto"/>
        <w:right w:val="none" w:sz="0" w:space="0" w:color="auto"/>
      </w:divBdr>
      <w:divsChild>
        <w:div w:id="2082628895">
          <w:marLeft w:val="0"/>
          <w:marRight w:val="0"/>
          <w:marTop w:val="0"/>
          <w:marBottom w:val="0"/>
          <w:divBdr>
            <w:top w:val="none" w:sz="0" w:space="0" w:color="auto"/>
            <w:left w:val="none" w:sz="0" w:space="0" w:color="auto"/>
            <w:bottom w:val="none" w:sz="0" w:space="0" w:color="auto"/>
            <w:right w:val="none" w:sz="0" w:space="0" w:color="auto"/>
          </w:divBdr>
          <w:divsChild>
            <w:div w:id="1428773991">
              <w:marLeft w:val="0"/>
              <w:marRight w:val="0"/>
              <w:marTop w:val="0"/>
              <w:marBottom w:val="0"/>
              <w:divBdr>
                <w:top w:val="none" w:sz="0" w:space="0" w:color="auto"/>
                <w:left w:val="none" w:sz="0" w:space="0" w:color="auto"/>
                <w:bottom w:val="none" w:sz="0" w:space="0" w:color="auto"/>
                <w:right w:val="none" w:sz="0" w:space="0" w:color="auto"/>
              </w:divBdr>
              <w:divsChild>
                <w:div w:id="18349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7160">
      <w:bodyDiv w:val="1"/>
      <w:marLeft w:val="0"/>
      <w:marRight w:val="0"/>
      <w:marTop w:val="0"/>
      <w:marBottom w:val="0"/>
      <w:divBdr>
        <w:top w:val="none" w:sz="0" w:space="0" w:color="auto"/>
        <w:left w:val="none" w:sz="0" w:space="0" w:color="auto"/>
        <w:bottom w:val="none" w:sz="0" w:space="0" w:color="auto"/>
        <w:right w:val="none" w:sz="0" w:space="0" w:color="auto"/>
      </w:divBdr>
    </w:div>
    <w:div w:id="20680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vers.org.uk/about/history/11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Fatjon Kaja</dc:creator>
  <cp:keywords/>
  <dc:description/>
  <cp:lastModifiedBy>Kaja, Fatjon</cp:lastModifiedBy>
  <cp:revision>16</cp:revision>
  <dcterms:created xsi:type="dcterms:W3CDTF">2024-03-26T11:41:00Z</dcterms:created>
  <dcterms:modified xsi:type="dcterms:W3CDTF">2024-04-25T21:21:00Z</dcterms:modified>
</cp:coreProperties>
</file>