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21D07" w14:textId="0909F43D" w:rsidR="00490FD7" w:rsidRPr="00536E22" w:rsidRDefault="00C520AB" w:rsidP="00536E22">
      <w:pPr>
        <w:spacing w:before="60"/>
        <w:ind w:left="614"/>
        <w:jc w:val="center"/>
        <w:rPr>
          <w:b/>
          <w:sz w:val="30"/>
        </w:rPr>
      </w:pPr>
      <w:r>
        <w:rPr>
          <w:b/>
          <w:sz w:val="30"/>
        </w:rPr>
        <w:t xml:space="preserve">Cumulative Returns: </w:t>
      </w:r>
      <w:r w:rsidR="00E376DF" w:rsidRPr="00E376DF">
        <w:rPr>
          <w:b/>
          <w:sz w:val="30"/>
        </w:rPr>
        <w:t>Air Pollution</w:t>
      </w:r>
      <w:r w:rsidR="00003EA2">
        <w:rPr>
          <w:b/>
          <w:sz w:val="30"/>
        </w:rPr>
        <w:t>, Skilled Labour and Institutional Quality</w:t>
      </w:r>
    </w:p>
    <w:p w14:paraId="2740681E" w14:textId="77777777" w:rsidR="00490FD7" w:rsidRDefault="00490FD7">
      <w:pPr>
        <w:pStyle w:val="BodyText"/>
        <w:rPr>
          <w:sz w:val="26"/>
        </w:rPr>
      </w:pPr>
    </w:p>
    <w:p w14:paraId="6CE700D1" w14:textId="77777777" w:rsidR="00490FD7" w:rsidRDefault="00490FD7">
      <w:pPr>
        <w:pStyle w:val="BodyText"/>
        <w:spacing w:before="29"/>
        <w:rPr>
          <w:sz w:val="26"/>
        </w:rPr>
      </w:pPr>
    </w:p>
    <w:p w14:paraId="75173B6C" w14:textId="52F3A8F6" w:rsidR="00490FD7" w:rsidRDefault="00E46432">
      <w:pPr>
        <w:tabs>
          <w:tab w:val="left" w:pos="4938"/>
        </w:tabs>
        <w:ind w:right="237"/>
        <w:jc w:val="center"/>
        <w:rPr>
          <w:spacing w:val="-2"/>
          <w:vertAlign w:val="superscript"/>
        </w:rPr>
      </w:pPr>
      <w: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65"/>
        <w:gridCol w:w="3465"/>
        <w:gridCol w:w="3466"/>
      </w:tblGrid>
      <w:tr w:rsidR="00003EA2" w14:paraId="6B477514" w14:textId="77777777" w:rsidTr="00003EA2">
        <w:tc>
          <w:tcPr>
            <w:tcW w:w="3465" w:type="dxa"/>
          </w:tcPr>
          <w:p w14:paraId="2942FFE1" w14:textId="53114C4F" w:rsidR="00003EA2" w:rsidRDefault="00003EA2">
            <w:pPr>
              <w:tabs>
                <w:tab w:val="left" w:pos="4938"/>
              </w:tabs>
              <w:ind w:right="237"/>
              <w:jc w:val="center"/>
            </w:pPr>
            <w:r>
              <w:t>Kanishka</w:t>
            </w:r>
            <w:r>
              <w:rPr>
                <w:spacing w:val="-8"/>
              </w:rPr>
              <w:t xml:space="preserve"> </w:t>
            </w:r>
            <w:r>
              <w:rPr>
                <w:spacing w:val="-2"/>
              </w:rPr>
              <w:t>Kacker</w:t>
            </w:r>
            <w:r>
              <w:rPr>
                <w:spacing w:val="-2"/>
                <w:vertAlign w:val="superscript"/>
              </w:rPr>
              <w:t>1</w:t>
            </w:r>
          </w:p>
        </w:tc>
        <w:tc>
          <w:tcPr>
            <w:tcW w:w="3465" w:type="dxa"/>
          </w:tcPr>
          <w:p w14:paraId="0A5F1D47" w14:textId="68A5C234" w:rsidR="00003EA2" w:rsidRDefault="00003EA2">
            <w:pPr>
              <w:tabs>
                <w:tab w:val="left" w:pos="4938"/>
              </w:tabs>
              <w:ind w:right="237"/>
              <w:jc w:val="center"/>
            </w:pPr>
            <w:r>
              <w:t>Radhika</w:t>
            </w:r>
            <w:r>
              <w:rPr>
                <w:spacing w:val="-9"/>
              </w:rPr>
              <w:t xml:space="preserve"> </w:t>
            </w:r>
            <w:r>
              <w:rPr>
                <w:spacing w:val="-2"/>
              </w:rPr>
              <w:t>Bansal</w:t>
            </w:r>
            <w:r>
              <w:rPr>
                <w:spacing w:val="-2"/>
                <w:vertAlign w:val="superscript"/>
              </w:rPr>
              <w:t>2</w:t>
            </w:r>
          </w:p>
        </w:tc>
        <w:tc>
          <w:tcPr>
            <w:tcW w:w="3466" w:type="dxa"/>
          </w:tcPr>
          <w:p w14:paraId="7DF2EBA8" w14:textId="4E9E5D47" w:rsidR="00003EA2" w:rsidRDefault="00003EA2">
            <w:pPr>
              <w:tabs>
                <w:tab w:val="left" w:pos="4938"/>
              </w:tabs>
              <w:ind w:right="237"/>
              <w:jc w:val="center"/>
            </w:pPr>
            <w:r>
              <w:t>Tanushka Arya</w:t>
            </w:r>
            <w:r w:rsidRPr="00003EA2">
              <w:rPr>
                <w:vertAlign w:val="superscript"/>
              </w:rPr>
              <w:t>3</w:t>
            </w:r>
          </w:p>
        </w:tc>
      </w:tr>
    </w:tbl>
    <w:p w14:paraId="7D308D9C" w14:textId="77777777" w:rsidR="00003EA2" w:rsidRDefault="00003EA2">
      <w:pPr>
        <w:tabs>
          <w:tab w:val="left" w:pos="4938"/>
        </w:tabs>
        <w:ind w:right="237"/>
        <w:jc w:val="center"/>
      </w:pPr>
    </w:p>
    <w:p w14:paraId="174F94D9" w14:textId="77777777" w:rsidR="00490FD7" w:rsidRDefault="00490FD7">
      <w:pPr>
        <w:pStyle w:val="BodyText"/>
        <w:rPr>
          <w:sz w:val="22"/>
        </w:rPr>
      </w:pPr>
    </w:p>
    <w:p w14:paraId="630E10FC" w14:textId="77777777" w:rsidR="00490FD7" w:rsidRDefault="00490FD7">
      <w:pPr>
        <w:pStyle w:val="BodyText"/>
        <w:spacing w:before="114"/>
        <w:rPr>
          <w:sz w:val="22"/>
        </w:rPr>
      </w:pPr>
    </w:p>
    <w:p w14:paraId="1CF123BA" w14:textId="0F12F0DC" w:rsidR="00490FD7" w:rsidRDefault="00B8241C" w:rsidP="00B8241C">
      <w:pPr>
        <w:pStyle w:val="BodyText"/>
        <w:spacing w:before="76"/>
        <w:jc w:val="center"/>
        <w:rPr>
          <w:sz w:val="22"/>
        </w:rPr>
      </w:pPr>
      <w:r>
        <w:rPr>
          <w:sz w:val="22"/>
        </w:rPr>
        <w:fldChar w:fldCharType="begin"/>
      </w:r>
      <w:r>
        <w:rPr>
          <w:sz w:val="22"/>
        </w:rPr>
        <w:instrText xml:space="preserve"> DATE \@ "MMMM d, yyyy" </w:instrText>
      </w:r>
      <w:r>
        <w:rPr>
          <w:sz w:val="22"/>
        </w:rPr>
        <w:fldChar w:fldCharType="separate"/>
      </w:r>
      <w:r w:rsidR="00BF7C73">
        <w:rPr>
          <w:noProof/>
          <w:sz w:val="22"/>
        </w:rPr>
        <w:t>March 31, 2025</w:t>
      </w:r>
      <w:r>
        <w:rPr>
          <w:sz w:val="22"/>
        </w:rPr>
        <w:fldChar w:fldCharType="end"/>
      </w:r>
    </w:p>
    <w:p w14:paraId="1F6148F3" w14:textId="77777777" w:rsidR="00B8241C" w:rsidRDefault="00B8241C">
      <w:pPr>
        <w:pStyle w:val="Heading4"/>
        <w:spacing w:before="0"/>
        <w:ind w:left="405" w:right="642" w:firstLine="0"/>
        <w:jc w:val="center"/>
        <w:rPr>
          <w:spacing w:val="-2"/>
        </w:rPr>
      </w:pPr>
    </w:p>
    <w:p w14:paraId="69F4591B" w14:textId="3AC1297C" w:rsidR="00490FD7" w:rsidRDefault="00E46432">
      <w:pPr>
        <w:pStyle w:val="Heading4"/>
        <w:spacing w:before="0"/>
        <w:ind w:left="405" w:right="642" w:firstLine="0"/>
        <w:jc w:val="center"/>
      </w:pPr>
      <w:r>
        <w:rPr>
          <w:spacing w:val="-2"/>
        </w:rPr>
        <w:t>Abstract</w:t>
      </w:r>
    </w:p>
    <w:p w14:paraId="5E0B4609" w14:textId="77777777" w:rsidR="00490FD7" w:rsidRDefault="00490FD7">
      <w:pPr>
        <w:pStyle w:val="BodyText"/>
        <w:spacing w:before="17"/>
        <w:rPr>
          <w:b/>
          <w:sz w:val="28"/>
        </w:rPr>
      </w:pPr>
    </w:p>
    <w:p w14:paraId="765309B5" w14:textId="327E7C97" w:rsidR="002F4ABC" w:rsidRPr="002F4ABC" w:rsidRDefault="002F4ABC" w:rsidP="002F4ABC">
      <w:pPr>
        <w:spacing w:line="276" w:lineRule="auto"/>
        <w:ind w:left="426" w:right="966"/>
        <w:rPr>
          <w:sz w:val="24"/>
          <w:szCs w:val="24"/>
          <w:lang w:val="en-IN"/>
        </w:rPr>
      </w:pPr>
      <w:r w:rsidRPr="002F4ABC">
        <w:rPr>
          <w:sz w:val="24"/>
          <w:szCs w:val="24"/>
          <w:lang w:val="en-IN"/>
        </w:rPr>
        <w:t xml:space="preserve">The productivity of high-skilled labour is crucial for institutional quality and economic growth, yet environmental factors like air pollution may compromise both. Our study uses high-frequency data on Delhi district court cases and air pollution levels to demonstrate how particulate matter significantly reduces the productivity of highly skilled knowledge workers—specifically, district court judges. </w:t>
      </w:r>
      <w:r w:rsidR="00987FCC">
        <w:rPr>
          <w:sz w:val="24"/>
          <w:szCs w:val="24"/>
          <w:lang w:val="en-IN"/>
        </w:rPr>
        <w:t xml:space="preserve">Exposure to poor air quality </w:t>
      </w:r>
      <w:r w:rsidRPr="002F4ABC">
        <w:rPr>
          <w:sz w:val="24"/>
          <w:szCs w:val="24"/>
          <w:lang w:val="en-IN"/>
        </w:rPr>
        <w:t xml:space="preserve">manifests in </w:t>
      </w:r>
      <w:r w:rsidR="00F35F5D">
        <w:rPr>
          <w:sz w:val="24"/>
          <w:szCs w:val="24"/>
          <w:lang w:val="en-IN"/>
        </w:rPr>
        <w:t xml:space="preserve">lower judicial productivity, measured by </w:t>
      </w:r>
      <w:r w:rsidRPr="002F4ABC">
        <w:rPr>
          <w:sz w:val="24"/>
          <w:szCs w:val="24"/>
          <w:lang w:val="en-IN"/>
        </w:rPr>
        <w:t>longer case resolution times</w:t>
      </w:r>
      <w:r>
        <w:rPr>
          <w:sz w:val="24"/>
          <w:szCs w:val="24"/>
          <w:lang w:val="en-IN"/>
        </w:rPr>
        <w:t>.</w:t>
      </w:r>
      <w:r w:rsidRPr="002F4ABC">
        <w:rPr>
          <w:sz w:val="24"/>
          <w:szCs w:val="24"/>
          <w:lang w:val="en-IN"/>
        </w:rPr>
        <w:t xml:space="preserve"> </w:t>
      </w:r>
      <w:r>
        <w:rPr>
          <w:sz w:val="24"/>
          <w:szCs w:val="24"/>
          <w:lang w:val="en-IN"/>
        </w:rPr>
        <w:t>Meeting</w:t>
      </w:r>
      <w:r w:rsidRPr="002F4ABC">
        <w:rPr>
          <w:sz w:val="24"/>
          <w:szCs w:val="24"/>
          <w:lang w:val="en-IN"/>
        </w:rPr>
        <w:t xml:space="preserve"> WHO standards </w:t>
      </w:r>
      <w:r w:rsidR="00093B80">
        <w:rPr>
          <w:sz w:val="24"/>
          <w:szCs w:val="24"/>
          <w:lang w:val="en-IN"/>
        </w:rPr>
        <w:t xml:space="preserve">for particulate matter (PM 2.5) </w:t>
      </w:r>
      <w:r>
        <w:rPr>
          <w:sz w:val="24"/>
          <w:szCs w:val="24"/>
          <w:lang w:val="en-IN"/>
        </w:rPr>
        <w:t>would</w:t>
      </w:r>
      <w:r w:rsidRPr="002F4ABC">
        <w:rPr>
          <w:sz w:val="24"/>
          <w:szCs w:val="24"/>
          <w:lang w:val="en-IN"/>
        </w:rPr>
        <w:t xml:space="preserve"> </w:t>
      </w:r>
      <w:r w:rsidR="00F35F5D">
        <w:rPr>
          <w:sz w:val="24"/>
          <w:szCs w:val="24"/>
          <w:lang w:val="en-IN"/>
        </w:rPr>
        <w:t xml:space="preserve">improve judicial productivity </w:t>
      </w:r>
      <w:r w:rsidR="00987FCC">
        <w:rPr>
          <w:sz w:val="24"/>
          <w:szCs w:val="24"/>
          <w:lang w:val="en-IN"/>
        </w:rPr>
        <w:t xml:space="preserve">by 25%, or about a 0.4 </w:t>
      </w:r>
      <w:r w:rsidR="00093B80">
        <w:rPr>
          <w:sz w:val="24"/>
          <w:szCs w:val="24"/>
          <w:lang w:val="en-IN"/>
        </w:rPr>
        <w:t>standard deviation</w:t>
      </w:r>
      <w:r w:rsidR="00987FCC">
        <w:rPr>
          <w:sz w:val="24"/>
          <w:szCs w:val="24"/>
          <w:lang w:val="en-IN"/>
        </w:rPr>
        <w:t xml:space="preserve"> reduction</w:t>
      </w:r>
      <w:r w:rsidRPr="002F4ABC">
        <w:rPr>
          <w:sz w:val="24"/>
          <w:szCs w:val="24"/>
          <w:lang w:val="en-IN"/>
        </w:rPr>
        <w:t xml:space="preserve">. Notably, the productivity impact compounds over time: three weeks of poor air quality exposure reduces judicial efficiency seven times more than a single day's exposure. </w:t>
      </w:r>
      <w:r w:rsidR="00987FCC">
        <w:rPr>
          <w:sz w:val="24"/>
          <w:szCs w:val="24"/>
          <w:lang w:val="en-IN"/>
        </w:rPr>
        <w:t>T</w:t>
      </w:r>
      <w:r w:rsidRPr="002F4ABC">
        <w:rPr>
          <w:sz w:val="24"/>
          <w:szCs w:val="24"/>
          <w:lang w:val="en-IN"/>
        </w:rPr>
        <w:t xml:space="preserve">emporary pollution mitigation measures are insufficient; only systematic long-term air quality improvements can preserve high-skilled </w:t>
      </w:r>
      <w:r w:rsidR="00987FCC" w:rsidRPr="002F4ABC">
        <w:rPr>
          <w:sz w:val="24"/>
          <w:szCs w:val="24"/>
          <w:lang w:val="en-IN"/>
        </w:rPr>
        <w:t>labour</w:t>
      </w:r>
      <w:r w:rsidRPr="002F4ABC">
        <w:rPr>
          <w:sz w:val="24"/>
          <w:szCs w:val="24"/>
          <w:lang w:val="en-IN"/>
        </w:rPr>
        <w:t xml:space="preserve"> productivity. </w:t>
      </w:r>
      <w:r w:rsidR="00987FCC">
        <w:rPr>
          <w:sz w:val="24"/>
          <w:szCs w:val="24"/>
          <w:lang w:val="en-IN"/>
        </w:rPr>
        <w:t>E</w:t>
      </w:r>
      <w:r w:rsidRPr="002F4ABC">
        <w:rPr>
          <w:sz w:val="24"/>
          <w:szCs w:val="24"/>
          <w:lang w:val="en-IN"/>
        </w:rPr>
        <w:t>nvironmental protection can enhance institutional quality</w:t>
      </w:r>
      <w:r w:rsidR="00093B80">
        <w:rPr>
          <w:sz w:val="24"/>
          <w:szCs w:val="24"/>
          <w:lang w:val="en-IN"/>
        </w:rPr>
        <w:t>, and thus growth,</w:t>
      </w:r>
      <w:r w:rsidRPr="002F4ABC">
        <w:rPr>
          <w:sz w:val="24"/>
          <w:szCs w:val="24"/>
          <w:lang w:val="en-IN"/>
        </w:rPr>
        <w:t xml:space="preserve"> through its positive effects on high-skilled </w:t>
      </w:r>
      <w:r w:rsidR="00987FCC" w:rsidRPr="002F4ABC">
        <w:rPr>
          <w:sz w:val="24"/>
          <w:szCs w:val="24"/>
          <w:lang w:val="en-IN"/>
        </w:rPr>
        <w:t>labour</w:t>
      </w:r>
      <w:r w:rsidRPr="002F4ABC">
        <w:rPr>
          <w:sz w:val="24"/>
          <w:szCs w:val="24"/>
          <w:lang w:val="en-IN"/>
        </w:rPr>
        <w:t xml:space="preserve"> markets.</w:t>
      </w:r>
    </w:p>
    <w:p w14:paraId="718AB051" w14:textId="5451AA7F" w:rsidR="00490FD7" w:rsidRPr="002F4ABC" w:rsidRDefault="00490FD7" w:rsidP="002F4ABC"/>
    <w:p w14:paraId="709B0697" w14:textId="77777777" w:rsidR="00490FD7" w:rsidRDefault="00490FD7">
      <w:pPr>
        <w:pStyle w:val="BodyText"/>
        <w:spacing w:before="24"/>
      </w:pPr>
    </w:p>
    <w:p w14:paraId="0658AFBE" w14:textId="0AD67517" w:rsidR="00490FD7" w:rsidRDefault="00E46432">
      <w:pPr>
        <w:pStyle w:val="BodyText"/>
        <w:ind w:left="380"/>
        <w:jc w:val="both"/>
      </w:pPr>
      <w:r>
        <w:rPr>
          <w:b/>
        </w:rPr>
        <w:t>Keywords:</w:t>
      </w:r>
      <w:r>
        <w:rPr>
          <w:b/>
          <w:spacing w:val="-2"/>
        </w:rPr>
        <w:t xml:space="preserve"> </w:t>
      </w:r>
      <w:r>
        <w:t>Air</w:t>
      </w:r>
      <w:r>
        <w:rPr>
          <w:spacing w:val="-2"/>
        </w:rPr>
        <w:t xml:space="preserve"> </w:t>
      </w:r>
      <w:r>
        <w:t>Pollution,</w:t>
      </w:r>
      <w:r>
        <w:rPr>
          <w:spacing w:val="-2"/>
        </w:rPr>
        <w:t xml:space="preserve"> </w:t>
      </w:r>
      <w:r>
        <w:t>Delhi,</w:t>
      </w:r>
      <w:r>
        <w:rPr>
          <w:spacing w:val="-2"/>
        </w:rPr>
        <w:t xml:space="preserve"> </w:t>
      </w:r>
      <w:r w:rsidR="00300B4A">
        <w:t>High</w:t>
      </w:r>
      <w:r w:rsidR="00300B4A">
        <w:rPr>
          <w:spacing w:val="-1"/>
        </w:rPr>
        <w:t>-skilled</w:t>
      </w:r>
      <w:r>
        <w:rPr>
          <w:spacing w:val="-2"/>
        </w:rPr>
        <w:t xml:space="preserve"> </w:t>
      </w:r>
      <w:r>
        <w:t>workers,</w:t>
      </w:r>
      <w:r>
        <w:rPr>
          <w:spacing w:val="-2"/>
        </w:rPr>
        <w:t xml:space="preserve"> </w:t>
      </w:r>
      <w:r w:rsidR="00C71278">
        <w:t>Labour Productivity</w:t>
      </w:r>
    </w:p>
    <w:p w14:paraId="135ABA42" w14:textId="77777777" w:rsidR="00490FD7" w:rsidRDefault="00490FD7">
      <w:pPr>
        <w:pStyle w:val="BodyText"/>
        <w:spacing w:before="65"/>
      </w:pPr>
    </w:p>
    <w:p w14:paraId="1AA82C3A" w14:textId="77777777" w:rsidR="00490FD7" w:rsidRDefault="00E46432">
      <w:pPr>
        <w:spacing w:before="1"/>
        <w:ind w:left="380"/>
        <w:jc w:val="both"/>
        <w:rPr>
          <w:sz w:val="24"/>
        </w:rPr>
      </w:pPr>
      <w:r>
        <w:rPr>
          <w:b/>
          <w:sz w:val="24"/>
        </w:rPr>
        <w:t xml:space="preserve">JEL Classification: </w:t>
      </w:r>
      <w:r>
        <w:rPr>
          <w:sz w:val="24"/>
        </w:rPr>
        <w:t xml:space="preserve">R23, H75, Q53, </w:t>
      </w:r>
      <w:r>
        <w:rPr>
          <w:spacing w:val="-5"/>
          <w:sz w:val="24"/>
        </w:rPr>
        <w:t>J24</w:t>
      </w:r>
    </w:p>
    <w:p w14:paraId="40B57407" w14:textId="77777777" w:rsidR="00490FD7" w:rsidRDefault="00490FD7">
      <w:pPr>
        <w:pStyle w:val="BodyText"/>
        <w:rPr>
          <w:sz w:val="20"/>
        </w:rPr>
      </w:pPr>
    </w:p>
    <w:p w14:paraId="0C310AE9" w14:textId="77777777" w:rsidR="00490FD7" w:rsidRDefault="00490FD7">
      <w:pPr>
        <w:pStyle w:val="BodyText"/>
        <w:rPr>
          <w:sz w:val="20"/>
        </w:rPr>
      </w:pPr>
    </w:p>
    <w:p w14:paraId="507C425E" w14:textId="77777777" w:rsidR="00490FD7" w:rsidRDefault="00490FD7">
      <w:pPr>
        <w:pStyle w:val="BodyText"/>
        <w:rPr>
          <w:sz w:val="20"/>
        </w:rPr>
      </w:pPr>
    </w:p>
    <w:p w14:paraId="4A0AF30E" w14:textId="77777777" w:rsidR="00490FD7" w:rsidRDefault="00490FD7">
      <w:pPr>
        <w:pStyle w:val="BodyText"/>
        <w:rPr>
          <w:sz w:val="20"/>
        </w:rPr>
      </w:pPr>
    </w:p>
    <w:p w14:paraId="211B30F0" w14:textId="77777777" w:rsidR="00490FD7" w:rsidRDefault="00490FD7">
      <w:pPr>
        <w:pStyle w:val="BodyText"/>
        <w:rPr>
          <w:sz w:val="20"/>
        </w:rPr>
      </w:pPr>
    </w:p>
    <w:p w14:paraId="2B311A4A" w14:textId="77777777" w:rsidR="00490FD7" w:rsidRDefault="00490FD7">
      <w:pPr>
        <w:pStyle w:val="BodyText"/>
        <w:rPr>
          <w:sz w:val="20"/>
        </w:rPr>
      </w:pPr>
    </w:p>
    <w:p w14:paraId="15CA5E14" w14:textId="77777777" w:rsidR="00490FD7" w:rsidRDefault="00490FD7">
      <w:pPr>
        <w:pStyle w:val="BodyText"/>
        <w:rPr>
          <w:sz w:val="20"/>
        </w:rPr>
      </w:pPr>
    </w:p>
    <w:p w14:paraId="0F87ECE6" w14:textId="77777777" w:rsidR="00490FD7" w:rsidRDefault="00490FD7">
      <w:pPr>
        <w:pStyle w:val="BodyText"/>
        <w:rPr>
          <w:sz w:val="20"/>
        </w:rPr>
      </w:pPr>
    </w:p>
    <w:p w14:paraId="6C97FFE7" w14:textId="77777777" w:rsidR="00490FD7" w:rsidRDefault="00490FD7">
      <w:pPr>
        <w:pStyle w:val="BodyText"/>
        <w:rPr>
          <w:sz w:val="20"/>
        </w:rPr>
      </w:pPr>
    </w:p>
    <w:p w14:paraId="1E4144A5" w14:textId="77777777" w:rsidR="00490FD7" w:rsidRDefault="00490FD7">
      <w:pPr>
        <w:pStyle w:val="BodyText"/>
        <w:rPr>
          <w:sz w:val="20"/>
        </w:rPr>
      </w:pPr>
    </w:p>
    <w:p w14:paraId="48F32E01" w14:textId="77777777" w:rsidR="00490FD7" w:rsidRDefault="00490FD7">
      <w:pPr>
        <w:pStyle w:val="BodyText"/>
        <w:rPr>
          <w:sz w:val="20"/>
        </w:rPr>
      </w:pPr>
    </w:p>
    <w:p w14:paraId="3438C1D1" w14:textId="77777777" w:rsidR="00490FD7" w:rsidRDefault="00E46432">
      <w:pPr>
        <w:pStyle w:val="BodyText"/>
        <w:spacing w:before="56"/>
        <w:rPr>
          <w:sz w:val="20"/>
        </w:rPr>
      </w:pPr>
      <w:r>
        <w:rPr>
          <w:noProof/>
        </w:rPr>
        <mc:AlternateContent>
          <mc:Choice Requires="wps">
            <w:drawing>
              <wp:anchor distT="0" distB="0" distL="0" distR="0" simplePos="0" relativeHeight="487588864" behindDoc="1" locked="0" layoutInCell="1" allowOverlap="1" wp14:anchorId="40AA6554" wp14:editId="63FE27B9">
                <wp:simplePos x="0" y="0"/>
                <wp:positionH relativeFrom="page">
                  <wp:posOffset>1028700</wp:posOffset>
                </wp:positionH>
                <wp:positionV relativeFrom="paragraph">
                  <wp:posOffset>197155</wp:posOffset>
                </wp:positionV>
                <wp:extent cx="1828800"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428B0C1" id="Graphic 3" o:spid="_x0000_s1026" style="position:absolute;margin-left:81pt;margin-top:15.5pt;width:2in;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1828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" path="m,l1828800,e" filled="f">
                <v:path arrowok="t"/>
                <w10:wrap type="topAndBottom" anchorx="page"/>
              </v:shape>
            </w:pict>
          </mc:Fallback>
        </mc:AlternateContent>
      </w:r>
    </w:p>
    <w:p w14:paraId="3AD5F3B5" w14:textId="59ACE310" w:rsidR="00093B80" w:rsidRDefault="00E46432" w:rsidP="00093B80">
      <w:pPr>
        <w:spacing w:before="99"/>
        <w:ind w:left="380"/>
        <w:rPr>
          <w:spacing w:val="-2"/>
          <w:sz w:val="18"/>
        </w:rPr>
      </w:pPr>
      <w:r>
        <w:rPr>
          <w:sz w:val="18"/>
          <w:vertAlign w:val="superscript"/>
        </w:rPr>
        <w:t>1</w:t>
      </w:r>
      <w:r>
        <w:rPr>
          <w:spacing w:val="-3"/>
          <w:sz w:val="18"/>
        </w:rPr>
        <w:t xml:space="preserve"> </w:t>
      </w:r>
      <w:r>
        <w:rPr>
          <w:sz w:val="18"/>
        </w:rPr>
        <w:t>Assistant</w:t>
      </w:r>
      <w:r>
        <w:rPr>
          <w:spacing w:val="-2"/>
          <w:sz w:val="18"/>
        </w:rPr>
        <w:t xml:space="preserve"> </w:t>
      </w:r>
      <w:r>
        <w:rPr>
          <w:sz w:val="18"/>
        </w:rPr>
        <w:t>Professor,</w:t>
      </w:r>
      <w:r>
        <w:rPr>
          <w:spacing w:val="-1"/>
          <w:sz w:val="18"/>
        </w:rPr>
        <w:t xml:space="preserve"> </w:t>
      </w:r>
      <w:r>
        <w:rPr>
          <w:sz w:val="18"/>
        </w:rPr>
        <w:t>Economics</w:t>
      </w:r>
      <w:r>
        <w:rPr>
          <w:spacing w:val="-2"/>
          <w:sz w:val="18"/>
        </w:rPr>
        <w:t xml:space="preserve"> </w:t>
      </w:r>
      <w:r>
        <w:rPr>
          <w:sz w:val="18"/>
        </w:rPr>
        <w:t>and</w:t>
      </w:r>
      <w:r>
        <w:rPr>
          <w:spacing w:val="-2"/>
          <w:sz w:val="18"/>
        </w:rPr>
        <w:t xml:space="preserve"> </w:t>
      </w:r>
      <w:r>
        <w:rPr>
          <w:sz w:val="18"/>
        </w:rPr>
        <w:t>Planning</w:t>
      </w:r>
      <w:r>
        <w:rPr>
          <w:spacing w:val="-2"/>
          <w:sz w:val="18"/>
        </w:rPr>
        <w:t xml:space="preserve"> </w:t>
      </w:r>
      <w:r>
        <w:rPr>
          <w:sz w:val="18"/>
        </w:rPr>
        <w:t>Unit,</w:t>
      </w:r>
      <w:r>
        <w:rPr>
          <w:spacing w:val="-1"/>
          <w:sz w:val="18"/>
        </w:rPr>
        <w:t xml:space="preserve"> </w:t>
      </w:r>
      <w:r>
        <w:rPr>
          <w:sz w:val="18"/>
        </w:rPr>
        <w:t>Indian</w:t>
      </w:r>
      <w:r>
        <w:rPr>
          <w:spacing w:val="-2"/>
          <w:sz w:val="18"/>
        </w:rPr>
        <w:t xml:space="preserve"> </w:t>
      </w:r>
      <w:r>
        <w:rPr>
          <w:sz w:val="18"/>
        </w:rPr>
        <w:t>Statistical</w:t>
      </w:r>
      <w:r>
        <w:rPr>
          <w:spacing w:val="-2"/>
          <w:sz w:val="18"/>
        </w:rPr>
        <w:t xml:space="preserve"> </w:t>
      </w:r>
      <w:r>
        <w:rPr>
          <w:sz w:val="18"/>
        </w:rPr>
        <w:t>Institute,</w:t>
      </w:r>
      <w:r>
        <w:rPr>
          <w:spacing w:val="-2"/>
          <w:sz w:val="18"/>
        </w:rPr>
        <w:t xml:space="preserve"> </w:t>
      </w:r>
      <w:r>
        <w:rPr>
          <w:sz w:val="18"/>
        </w:rPr>
        <w:t>Delhi</w:t>
      </w:r>
      <w:r>
        <w:rPr>
          <w:spacing w:val="-1"/>
          <w:sz w:val="18"/>
        </w:rPr>
        <w:t xml:space="preserve"> </w:t>
      </w:r>
      <w:r>
        <w:rPr>
          <w:spacing w:val="-2"/>
          <w:sz w:val="18"/>
        </w:rPr>
        <w:t>Center</w:t>
      </w:r>
      <w:r w:rsidR="00093B80">
        <w:rPr>
          <w:spacing w:val="-2"/>
          <w:sz w:val="18"/>
        </w:rPr>
        <w:t xml:space="preserve">; </w:t>
      </w:r>
      <w:r w:rsidR="00003EA2" w:rsidRPr="00003EA2">
        <w:rPr>
          <w:spacing w:val="-2"/>
          <w:sz w:val="18"/>
          <w:vertAlign w:val="superscript"/>
        </w:rPr>
        <w:t>2</w:t>
      </w:r>
      <w:r w:rsidR="00003EA2">
        <w:rPr>
          <w:spacing w:val="-2"/>
          <w:sz w:val="18"/>
        </w:rPr>
        <w:t xml:space="preserve"> Zomato Pvt </w:t>
      </w:r>
      <w:proofErr w:type="gramStart"/>
      <w:r w:rsidR="00003EA2">
        <w:rPr>
          <w:spacing w:val="-2"/>
          <w:sz w:val="18"/>
        </w:rPr>
        <w:t>Ltd</w:t>
      </w:r>
      <w:r w:rsidR="00093B80">
        <w:rPr>
          <w:spacing w:val="-2"/>
          <w:sz w:val="18"/>
        </w:rPr>
        <w:t>;</w:t>
      </w:r>
      <w:proofErr w:type="gramEnd"/>
      <w:r w:rsidR="00093B80">
        <w:rPr>
          <w:spacing w:val="-2"/>
          <w:sz w:val="18"/>
        </w:rPr>
        <w:t xml:space="preserve"> </w:t>
      </w:r>
    </w:p>
    <w:p w14:paraId="344E1309" w14:textId="0D485F2B" w:rsidR="00490FD7" w:rsidRDefault="00003EA2" w:rsidP="00093B80">
      <w:pPr>
        <w:spacing w:before="99"/>
        <w:ind w:left="380"/>
        <w:sectPr w:rsidR="00490FD7">
          <w:headerReference w:type="default" r:id="rId8"/>
          <w:footerReference w:type="default" r:id="rId9"/>
          <w:pgSz w:w="12240" w:h="15840"/>
          <w:pgMar w:top="1460" w:right="820" w:bottom="1020" w:left="1240" w:header="652" w:footer="820" w:gutter="0"/>
          <w:cols w:space="720"/>
        </w:sectPr>
      </w:pPr>
      <w:r>
        <w:rPr>
          <w:sz w:val="18"/>
          <w:vertAlign w:val="superscript"/>
        </w:rPr>
        <w:t xml:space="preserve">3 </w:t>
      </w:r>
      <w:r w:rsidR="00E46432">
        <w:rPr>
          <w:sz w:val="18"/>
        </w:rPr>
        <w:t>MSQE</w:t>
      </w:r>
      <w:r w:rsidR="00E46432">
        <w:rPr>
          <w:spacing w:val="-2"/>
          <w:sz w:val="18"/>
        </w:rPr>
        <w:t xml:space="preserve"> </w:t>
      </w:r>
      <w:r w:rsidR="00E46432">
        <w:rPr>
          <w:sz w:val="18"/>
        </w:rPr>
        <w:t>Second</w:t>
      </w:r>
      <w:r w:rsidR="00E46432">
        <w:rPr>
          <w:spacing w:val="-2"/>
          <w:sz w:val="18"/>
        </w:rPr>
        <w:t xml:space="preserve"> </w:t>
      </w:r>
      <w:r w:rsidR="00E46432">
        <w:rPr>
          <w:sz w:val="18"/>
        </w:rPr>
        <w:t>Year</w:t>
      </w:r>
      <w:r w:rsidR="00E46432">
        <w:rPr>
          <w:spacing w:val="-3"/>
          <w:sz w:val="18"/>
        </w:rPr>
        <w:t xml:space="preserve"> </w:t>
      </w:r>
      <w:r w:rsidR="00E46432">
        <w:rPr>
          <w:sz w:val="18"/>
        </w:rPr>
        <w:t>student,</w:t>
      </w:r>
      <w:r w:rsidR="00E46432">
        <w:rPr>
          <w:spacing w:val="-2"/>
          <w:sz w:val="18"/>
        </w:rPr>
        <w:t xml:space="preserve"> </w:t>
      </w:r>
      <w:r w:rsidR="00E46432">
        <w:rPr>
          <w:sz w:val="18"/>
        </w:rPr>
        <w:t>Indian</w:t>
      </w:r>
      <w:r w:rsidR="00E46432">
        <w:rPr>
          <w:spacing w:val="-2"/>
          <w:sz w:val="18"/>
        </w:rPr>
        <w:t xml:space="preserve"> </w:t>
      </w:r>
      <w:r w:rsidR="00E46432">
        <w:rPr>
          <w:sz w:val="18"/>
        </w:rPr>
        <w:t>Statistical</w:t>
      </w:r>
      <w:r w:rsidR="00E46432">
        <w:rPr>
          <w:spacing w:val="-3"/>
          <w:sz w:val="18"/>
        </w:rPr>
        <w:t xml:space="preserve"> </w:t>
      </w:r>
      <w:r w:rsidR="00E46432">
        <w:rPr>
          <w:sz w:val="18"/>
        </w:rPr>
        <w:t>Institute,</w:t>
      </w:r>
      <w:r w:rsidR="00E46432">
        <w:rPr>
          <w:spacing w:val="-2"/>
          <w:sz w:val="18"/>
        </w:rPr>
        <w:t xml:space="preserve"> </w:t>
      </w:r>
      <w:r w:rsidR="00E46432">
        <w:rPr>
          <w:sz w:val="18"/>
        </w:rPr>
        <w:t>Delhi</w:t>
      </w:r>
      <w:r w:rsidR="00E46432">
        <w:rPr>
          <w:spacing w:val="-2"/>
          <w:sz w:val="18"/>
        </w:rPr>
        <w:t xml:space="preserve"> </w:t>
      </w:r>
      <w:proofErr w:type="spellStart"/>
      <w:r w:rsidR="00E46432">
        <w:rPr>
          <w:spacing w:val="-2"/>
          <w:sz w:val="18"/>
        </w:rPr>
        <w:t>Cente</w:t>
      </w:r>
      <w:proofErr w:type="spellEnd"/>
    </w:p>
    <w:p w14:paraId="6CDA78F2" w14:textId="3B8A3EF7" w:rsidR="00490FD7" w:rsidRDefault="00503F5D">
      <w:pPr>
        <w:pStyle w:val="Heading3"/>
      </w:pPr>
      <w:r>
        <w:lastRenderedPageBreak/>
        <w:t>Section I: INTRODUCTION</w:t>
      </w:r>
    </w:p>
    <w:p w14:paraId="145ECB7C" w14:textId="77777777" w:rsidR="00490FD7" w:rsidRDefault="00E46432">
      <w:pPr>
        <w:pStyle w:val="BodyText"/>
        <w:spacing w:before="32"/>
        <w:rPr>
          <w:b/>
          <w:sz w:val="20"/>
        </w:rPr>
      </w:pPr>
      <w:r>
        <w:rPr>
          <w:noProof/>
        </w:rPr>
        <mc:AlternateContent>
          <mc:Choice Requires="wps">
            <w:drawing>
              <wp:anchor distT="0" distB="0" distL="0" distR="0" simplePos="0" relativeHeight="487592960" behindDoc="1" locked="0" layoutInCell="1" allowOverlap="1" wp14:anchorId="60249C68" wp14:editId="77911D7E">
                <wp:simplePos x="0" y="0"/>
                <wp:positionH relativeFrom="page">
                  <wp:posOffset>1066800</wp:posOffset>
                </wp:positionH>
                <wp:positionV relativeFrom="paragraph">
                  <wp:posOffset>181687</wp:posOffset>
                </wp:positionV>
                <wp:extent cx="5753100" cy="1270"/>
                <wp:effectExtent l="0" t="0" r="0" b="0"/>
                <wp:wrapTopAndBottom/>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3100" cy="1270"/>
                        </a:xfrm>
                        <a:custGeom>
                          <a:avLst/>
                          <a:gdLst/>
                          <a:ahLst/>
                          <a:cxnLst/>
                          <a:rect l="l" t="t" r="r" b="b"/>
                          <a:pathLst>
                            <a:path w="5753100">
                              <a:moveTo>
                                <a:pt x="0" y="0"/>
                              </a:moveTo>
                              <a:lnTo>
                                <a:pt x="57531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4A834557" id="Graphic 16" o:spid="_x0000_s1026" style="position:absolute;margin-left:84pt;margin-top:14.3pt;width:453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57531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" path="m,l5753100,e" filled="f" strokecolor="#878787" strokeweight="1pt">
                <v:path arrowok="t"/>
                <w10:wrap type="topAndBottom" anchorx="page"/>
              </v:shape>
            </w:pict>
          </mc:Fallback>
        </mc:AlternateContent>
      </w:r>
    </w:p>
    <w:p w14:paraId="15FA3415" w14:textId="19EEB64C" w:rsidR="002377A7" w:rsidRDefault="002377A7" w:rsidP="002377A7">
      <w:pPr>
        <w:pStyle w:val="BodyText"/>
        <w:spacing w:before="1" w:after="240" w:line="276" w:lineRule="auto"/>
        <w:ind w:left="380" w:right="618"/>
      </w:pPr>
      <w:r w:rsidRPr="0054357E">
        <w:t>The cognitive demands of highly skilled labo</w:t>
      </w:r>
      <w:r>
        <w:t>u</w:t>
      </w:r>
      <w:r w:rsidRPr="0054357E">
        <w:t>r represent a crucial yet vulnerable component of institutional quality and economic growth. While physical labo</w:t>
      </w:r>
      <w:r>
        <w:t>u</w:t>
      </w:r>
      <w:r w:rsidRPr="0054357E">
        <w:t xml:space="preserve">r's susceptibility to environmental factors is </w:t>
      </w:r>
      <w:r>
        <w:t>intuitively easy to understand</w:t>
      </w:r>
      <w:r w:rsidRPr="0054357E">
        <w:t xml:space="preserve">, the cognitive pathways through which environmental conditions affect specialized knowledge workers </w:t>
      </w:r>
      <w:proofErr w:type="gramStart"/>
      <w:r>
        <w:t>is</w:t>
      </w:r>
      <w:proofErr w:type="gramEnd"/>
      <w:r>
        <w:t xml:space="preserve"> harder to grasp</w:t>
      </w:r>
      <w:r w:rsidRPr="0054357E">
        <w:t>. Our research examines this critical intersection by focusing on one of society's most cognitively demanding professions: judicial officers.</w:t>
      </w:r>
    </w:p>
    <w:p w14:paraId="3AACCB44" w14:textId="77777777" w:rsidR="002377A7" w:rsidRPr="0054357E" w:rsidRDefault="002377A7" w:rsidP="002377A7">
      <w:pPr>
        <w:pStyle w:val="BodyText"/>
        <w:spacing w:before="1" w:after="240" w:line="276" w:lineRule="auto"/>
        <w:ind w:left="380" w:right="618"/>
      </w:pPr>
      <w:r w:rsidRPr="0054357E">
        <w:t>District court judges in Delhi represent an ideal case study of high-skilled knowledge workers operating under significant pressure. These legal professionals—who undergo at least a decade of specialized training before hearing cases—must synthesize complex legal precedents, evaluate evidence, and render judgments that directly impact institutional quality. Their cognitive performance is particularly consequential given the extreme backlog in the Indian judicial system, where Delhi's district courts alone handle over 150,000 cases—21 times the caseload of an average U.S. state</w:t>
      </w:r>
      <w:r>
        <w:t xml:space="preserve"> (</w:t>
      </w:r>
      <w:r w:rsidRPr="002377A7">
        <w:t>Table D-4 and Table C-5, U.S. Federal Judicial Caseload Statistics, March 31, 2023)</w:t>
      </w:r>
      <w:r w:rsidRPr="0054357E">
        <w:t>.</w:t>
      </w:r>
    </w:p>
    <w:p w14:paraId="11FECE0A" w14:textId="77777777" w:rsidR="002377A7" w:rsidRDefault="002377A7" w:rsidP="002377A7">
      <w:pPr>
        <w:pStyle w:val="BodyText"/>
        <w:spacing w:before="1" w:after="240" w:line="276" w:lineRule="auto"/>
        <w:ind w:left="380" w:right="618"/>
      </w:pPr>
      <w:r w:rsidRPr="0054357E">
        <w:t>Recent medical literature suggests that fine particulate matter (PM 2.5) can impair cognitive function through direct neurological pathways, as these particles are small enough to enter the bloodstream and reach the brain</w:t>
      </w:r>
      <w:r>
        <w:t xml:space="preserve"> (Grande et al 2021, Ke et al 2022, Block</w:t>
      </w:r>
      <w:r w:rsidRPr="002377A7">
        <w:t xml:space="preserve"> </w:t>
      </w:r>
      <w:r>
        <w:t>and</w:t>
      </w:r>
      <w:r w:rsidRPr="002377A7">
        <w:t xml:space="preserve"> </w:t>
      </w:r>
      <w:r>
        <w:t>Calderon-Garciduenas 2009)</w:t>
      </w:r>
      <w:r w:rsidRPr="0054357E">
        <w:t>. Delhi's ambient PM 2.5 levels—approximately three times India's national standard and twenty-eight times WHO recommendations—create a natural experiment to examine how cognitive impairment affects high-skilled productivity in real-world settings.</w:t>
      </w:r>
    </w:p>
    <w:p w14:paraId="77332368" w14:textId="77777777" w:rsidR="002377A7" w:rsidRDefault="002377A7" w:rsidP="002377A7">
      <w:pPr>
        <w:pStyle w:val="BodyText"/>
        <w:spacing w:before="1" w:after="240" w:line="276" w:lineRule="auto"/>
        <w:ind w:left="380" w:right="618"/>
      </w:pPr>
      <w:r>
        <w:t xml:space="preserve">We use high frequency panel data on cases handled by district courts in Delhi in 2015, together with similar frequency air pollution information. </w:t>
      </w:r>
      <w:r w:rsidRPr="0054357E">
        <w:t xml:space="preserve">Our identification strategy exploits within-court and within-case variation in cumulative daily PM 2.5 exposure. The results reveal that reducing PM 2.5 levels to meet India's national standards would </w:t>
      </w:r>
      <w:r>
        <w:t>improve judicial productivity – measured using the time taken to decide a case -</w:t>
      </w:r>
      <w:r w:rsidRPr="0054357E">
        <w:t xml:space="preserve"> by 17% (nearly 0.3 standard deviations), while meeting WHO standards would </w:t>
      </w:r>
      <w:r>
        <w:t>lead to an a</w:t>
      </w:r>
      <w:r w:rsidRPr="0054357E">
        <w:t>pproximately 25%</w:t>
      </w:r>
      <w:r>
        <w:t xml:space="preserve"> improvement</w:t>
      </w:r>
      <w:r w:rsidRPr="0054357E">
        <w:t xml:space="preserve"> (about 0.4 standard deviations).</w:t>
      </w:r>
    </w:p>
    <w:p w14:paraId="7FE23B72" w14:textId="77777777" w:rsidR="002377A7" w:rsidRPr="00D32562" w:rsidRDefault="002377A7" w:rsidP="002377A7">
      <w:pPr>
        <w:pStyle w:val="BodyText"/>
        <w:spacing w:before="1" w:after="240" w:line="276" w:lineRule="auto"/>
        <w:ind w:left="380" w:right="618"/>
      </w:pPr>
      <w:r w:rsidRPr="00D32562">
        <w:t>This study makes three distinct contributions to understanding how environmental factors impact high-skilled labor:</w:t>
      </w:r>
    </w:p>
    <w:p w14:paraId="250F8F8F" w14:textId="77777777" w:rsidR="002377A7" w:rsidRPr="00D32562" w:rsidRDefault="002377A7" w:rsidP="002377A7">
      <w:pPr>
        <w:pStyle w:val="BodyText"/>
        <w:spacing w:before="1" w:after="240" w:line="276" w:lineRule="auto"/>
        <w:ind w:left="380" w:right="618"/>
      </w:pPr>
      <w:r w:rsidRPr="00D32562">
        <w:t xml:space="preserve">First, we demonstrate that cumulative exposure, rather than immediate exposure, drives cognitive impairment in </w:t>
      </w:r>
      <w:proofErr w:type="gramStart"/>
      <w:r w:rsidRPr="00D32562">
        <w:t>high-skilled</w:t>
      </w:r>
      <w:proofErr w:type="gramEnd"/>
      <w:r w:rsidRPr="00D32562">
        <w:t xml:space="preserve"> professionals. As the measurement window expands, the productivity impact grows stronger, suggesting that sustained public intervention—not merely individual </w:t>
      </w:r>
      <w:r>
        <w:t xml:space="preserve">or society level </w:t>
      </w:r>
      <w:r w:rsidRPr="00D32562">
        <w:t>protective measures during pollution spikes—is necessary to maintain cognitive performance in skilled knowledge work.</w:t>
      </w:r>
    </w:p>
    <w:p w14:paraId="61032043" w14:textId="77777777" w:rsidR="002377A7" w:rsidRPr="00D32562" w:rsidRDefault="002377A7" w:rsidP="002377A7">
      <w:pPr>
        <w:pStyle w:val="BodyText"/>
        <w:spacing w:before="1" w:after="240" w:line="276" w:lineRule="auto"/>
        <w:ind w:left="380" w:right="618"/>
      </w:pPr>
      <w:r w:rsidRPr="00D32562">
        <w:t xml:space="preserve">Second, our results show substantially larger and more generalized effects than previous </w:t>
      </w:r>
      <w:r w:rsidRPr="00D32562">
        <w:lastRenderedPageBreak/>
        <w:t>studies examining the same population</w:t>
      </w:r>
      <w:r>
        <w:t xml:space="preserve"> (Sarmiento and Nowakowski 2023)</w:t>
      </w:r>
      <w:r w:rsidRPr="00D32562">
        <w:t>. By capturing daily variation and accounting for cumulative exposure, we reveal impacts across both civil and criminal cases, highlighting how methodological choices significantly influence the estimated cognitive costs of pollution.</w:t>
      </w:r>
    </w:p>
    <w:p w14:paraId="4FF996D6" w14:textId="77777777" w:rsidR="002377A7" w:rsidRDefault="002377A7" w:rsidP="002377A7">
      <w:pPr>
        <w:pStyle w:val="BodyText"/>
        <w:spacing w:before="1" w:after="240" w:line="276" w:lineRule="auto"/>
        <w:ind w:left="380" w:right="618"/>
      </w:pPr>
      <w:r w:rsidRPr="00D32562">
        <w:t>Third, by focusing on a setting characterized by both significant pollution exposure and substantial work pressure, the study demonstrates the robustness of the cognitive pathway through which environmental factors impair highly trained professionals. The observed productivity impacts suggest that cognitive performance among educated and specialized workers can be vulnerable to environmental degradation.</w:t>
      </w:r>
    </w:p>
    <w:p w14:paraId="351C6A2E" w14:textId="77777777" w:rsidR="002377A7" w:rsidRDefault="002377A7" w:rsidP="002377A7">
      <w:pPr>
        <w:pStyle w:val="BodyText"/>
        <w:spacing w:before="1" w:after="240" w:line="276" w:lineRule="auto"/>
        <w:ind w:left="380" w:right="618"/>
      </w:pPr>
      <w:r w:rsidRPr="00D32562">
        <w:t>This research contributes to understanding that environmental conditions affect labor markets not only through physical health channels but also through direct cognitive impacts on worker productivity. While previous studies have primarily examined less cognitively demanding occupations (</w:t>
      </w:r>
      <w:proofErr w:type="spellStart"/>
      <w:r w:rsidRPr="00D32562">
        <w:t>Zivin</w:t>
      </w:r>
      <w:proofErr w:type="spellEnd"/>
      <w:r w:rsidRPr="00D32562">
        <w:t xml:space="preserve"> and </w:t>
      </w:r>
      <w:proofErr w:type="spellStart"/>
      <w:r w:rsidRPr="00D32562">
        <w:t>Neidell</w:t>
      </w:r>
      <w:proofErr w:type="spellEnd"/>
      <w:r w:rsidRPr="00D32562">
        <w:t xml:space="preserve"> 2012, Chang et al 2016, Ebenstein, Lavy and Roth 2016, Adhvaryu, Kala and </w:t>
      </w:r>
      <w:proofErr w:type="spellStart"/>
      <w:r w:rsidRPr="00D32562">
        <w:t>Nyshadham</w:t>
      </w:r>
      <w:proofErr w:type="spellEnd"/>
      <w:r w:rsidRPr="00D32562">
        <w:t xml:space="preserve"> 2022) or settings with lower pollution levels (Krebs and </w:t>
      </w:r>
      <w:proofErr w:type="spellStart"/>
      <w:r w:rsidRPr="00D32562">
        <w:t>Luechinger</w:t>
      </w:r>
      <w:proofErr w:type="spellEnd"/>
      <w:r w:rsidRPr="00D32562">
        <w:t xml:space="preserve"> 2024, Sarmiento 2022, </w:t>
      </w:r>
      <w:proofErr w:type="spellStart"/>
      <w:r w:rsidRPr="00D32562">
        <w:t>Archsmith</w:t>
      </w:r>
      <w:proofErr w:type="spellEnd"/>
      <w:r w:rsidRPr="00D32562">
        <w:t xml:space="preserve">, Heyes and </w:t>
      </w:r>
      <w:proofErr w:type="spellStart"/>
      <w:r w:rsidRPr="00D32562">
        <w:t>Saberian</w:t>
      </w:r>
      <w:proofErr w:type="spellEnd"/>
      <w:r w:rsidRPr="00D32562">
        <w:t xml:space="preserve"> 2018, Holub and Thies 2023), this study focuses on highly skilled judicial officers under extreme pollution and workload conditions, providing unique insights into how environmental factors affect cognitively demanding professional work.</w:t>
      </w:r>
    </w:p>
    <w:p w14:paraId="1E2249C5" w14:textId="77777777" w:rsidR="002377A7" w:rsidRDefault="002377A7" w:rsidP="002377A7">
      <w:pPr>
        <w:pStyle w:val="BodyText"/>
        <w:spacing w:before="1" w:after="240" w:line="276" w:lineRule="auto"/>
        <w:ind w:left="380" w:right="618"/>
      </w:pPr>
      <w:r w:rsidRPr="00D32562">
        <w:t>In recent years, there has been an increasing recognition in economics that air pollution's impact extends beyond physical health. Consequently, recent work examines how labour markets may be affected by air pollution. This research broadly divides into two areas: those examining labour supply (Hoffman and Rud 2024; Zhang, Hao and Lu 2018; Wang et al 2020) and those examining productivity.</w:t>
      </w:r>
    </w:p>
    <w:p w14:paraId="2474C2FD" w14:textId="77777777" w:rsidR="002377A7" w:rsidRDefault="002377A7" w:rsidP="002377A7">
      <w:pPr>
        <w:pStyle w:val="BodyText"/>
        <w:spacing w:before="1" w:after="240" w:line="276" w:lineRule="auto"/>
        <w:ind w:left="380" w:right="618"/>
      </w:pPr>
      <w:r>
        <w:t>We argue that p</w:t>
      </w:r>
      <w:r w:rsidRPr="00D32562">
        <w:t xml:space="preserve">roductivity is </w:t>
      </w:r>
      <w:r>
        <w:t xml:space="preserve">a more relevant concern; </w:t>
      </w:r>
      <w:r w:rsidRPr="00D32562">
        <w:t xml:space="preserve">Section II discusses </w:t>
      </w:r>
      <w:r>
        <w:t>this in more detail</w:t>
      </w:r>
      <w:r w:rsidRPr="00D32562">
        <w:t xml:space="preserve">. Workers can engage in avoidance </w:t>
      </w:r>
      <w:proofErr w:type="spellStart"/>
      <w:r w:rsidRPr="00D32562">
        <w:t>behaviour</w:t>
      </w:r>
      <w:proofErr w:type="spellEnd"/>
      <w:r w:rsidRPr="00D32562">
        <w:t xml:space="preserve"> by altering their labour supply in response to poor air quality days (Hoffman and Rud 2024). This will not necessarily protect them if PM 2.5 concentrations are high, as these particulates are small enough to enter the bloodstream and travel to the brain. Kahn and Li (2020) studied high-skill work in a high-pollution setting and used an appropriate measure of exposure, though they did not investigate the specific mechanism in terms of exposure time.</w:t>
      </w:r>
    </w:p>
    <w:p w14:paraId="2E693522" w14:textId="1F0DA6B3" w:rsidR="002377A7" w:rsidRPr="00D32562" w:rsidRDefault="002377A7" w:rsidP="002377A7">
      <w:pPr>
        <w:pStyle w:val="BodyText"/>
        <w:spacing w:before="1" w:after="240" w:line="276" w:lineRule="auto"/>
        <w:ind w:left="380" w:right="618"/>
      </w:pPr>
      <w:r>
        <w:t>More broadly, institutional quality is a key element in driving economic growth. Chemin (2020), for instance, finds judicial reform increases productivity for firms in sectors reliant on efficient contract enforcement by one-fifth of a standard deviation. Since highly skilled work, such as judicial decision making, can influence institutional quality, our findings indicate a path through which environmental protection can increase growth. The traditional trade-off between economic growth and environmental protection is weaker than traditionally assumed.</w:t>
      </w:r>
    </w:p>
    <w:p w14:paraId="04806603" w14:textId="28D27F80" w:rsidR="00490FD7" w:rsidRDefault="00E46432" w:rsidP="00E70EB6">
      <w:pPr>
        <w:pStyle w:val="BodyText"/>
        <w:spacing w:before="1" w:line="276" w:lineRule="auto"/>
        <w:ind w:left="380" w:right="618"/>
      </w:pPr>
      <w:r>
        <w:t xml:space="preserve">The rest of the paper is organized as follows. </w:t>
      </w:r>
      <w:r w:rsidR="00E70EB6">
        <w:t>Section II</w:t>
      </w:r>
      <w:r>
        <w:t xml:space="preserve"> chapter </w:t>
      </w:r>
      <w:r w:rsidR="00E70EB6">
        <w:t>explains</w:t>
      </w:r>
      <w:r>
        <w:t xml:space="preserve"> the </w:t>
      </w:r>
      <w:r w:rsidR="00E70EB6">
        <w:t xml:space="preserve">institutional </w:t>
      </w:r>
      <w:r w:rsidR="00E70EB6">
        <w:lastRenderedPageBreak/>
        <w:t>background of the study site</w:t>
      </w:r>
      <w:r>
        <w:t xml:space="preserve"> framework of the paper. </w:t>
      </w:r>
      <w:r w:rsidR="00E70EB6">
        <w:t>Section III</w:t>
      </w:r>
      <w:r>
        <w:t xml:space="preserve"> describes the datasets, </w:t>
      </w:r>
      <w:r w:rsidR="00E70EB6">
        <w:t xml:space="preserve">the </w:t>
      </w:r>
      <w:r>
        <w:t>variables used</w:t>
      </w:r>
      <w:r w:rsidR="00E70EB6">
        <w:t xml:space="preserve"> and the </w:t>
      </w:r>
      <w:r>
        <w:t>empirical specification</w:t>
      </w:r>
      <w:r w:rsidR="00E70EB6">
        <w:t>. Section IV provides</w:t>
      </w:r>
      <w:r>
        <w:t xml:space="preserve"> the main result</w:t>
      </w:r>
      <w:r w:rsidR="00E70EB6">
        <w:t>s</w:t>
      </w:r>
      <w:r>
        <w:t xml:space="preserve">. The last </w:t>
      </w:r>
      <w:r w:rsidR="00E70EB6">
        <w:t>section</w:t>
      </w:r>
      <w:r>
        <w:t xml:space="preserve"> concludes</w:t>
      </w:r>
      <w:r w:rsidR="00E70EB6">
        <w:t xml:space="preserve">, </w:t>
      </w:r>
      <w:r>
        <w:t>provides a set of limitations and the way forward to the research.</w:t>
      </w:r>
    </w:p>
    <w:p w14:paraId="21207134" w14:textId="08EB2848" w:rsidR="00490FD7" w:rsidRDefault="00130688">
      <w:pPr>
        <w:pStyle w:val="Heading3"/>
      </w:pPr>
      <w:r>
        <w:t>Section II: Institutional Quality, Worker Productivity and Air Pollution</w:t>
      </w:r>
    </w:p>
    <w:p w14:paraId="74A3A524" w14:textId="77777777" w:rsidR="00490FD7" w:rsidRDefault="00E46432">
      <w:pPr>
        <w:pStyle w:val="BodyText"/>
        <w:spacing w:before="32"/>
        <w:rPr>
          <w:b/>
          <w:sz w:val="20"/>
        </w:rPr>
      </w:pPr>
      <w:r>
        <w:rPr>
          <w:noProof/>
        </w:rPr>
        <mc:AlternateContent>
          <mc:Choice Requires="wps">
            <w:drawing>
              <wp:anchor distT="0" distB="0" distL="0" distR="0" simplePos="0" relativeHeight="487593472" behindDoc="1" locked="0" layoutInCell="1" allowOverlap="1" wp14:anchorId="15255134" wp14:editId="53A8F70E">
                <wp:simplePos x="0" y="0"/>
                <wp:positionH relativeFrom="page">
                  <wp:posOffset>1066800</wp:posOffset>
                </wp:positionH>
                <wp:positionV relativeFrom="paragraph">
                  <wp:posOffset>181693</wp:posOffset>
                </wp:positionV>
                <wp:extent cx="5753100"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3100" cy="1270"/>
                        </a:xfrm>
                        <a:custGeom>
                          <a:avLst/>
                          <a:gdLst/>
                          <a:ahLst/>
                          <a:cxnLst/>
                          <a:rect l="l" t="t" r="r" b="b"/>
                          <a:pathLst>
                            <a:path w="5753100">
                              <a:moveTo>
                                <a:pt x="0" y="0"/>
                              </a:moveTo>
                              <a:lnTo>
                                <a:pt x="57531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02929017" id="Graphic 17" o:spid="_x0000_s1026" style="position:absolute;margin-left:84pt;margin-top:14.3pt;width:453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7531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" path="m,l5753100,e" filled="f" strokecolor="#878787" strokeweight="1pt">
                <v:path arrowok="t"/>
                <w10:wrap type="topAndBottom" anchorx="page"/>
              </v:shape>
            </w:pict>
          </mc:Fallback>
        </mc:AlternateContent>
      </w:r>
    </w:p>
    <w:p w14:paraId="45033A55" w14:textId="0FD70801" w:rsidR="00490FD7" w:rsidRDefault="00E46432" w:rsidP="00130688">
      <w:pPr>
        <w:pStyle w:val="BodyText"/>
        <w:spacing w:before="123" w:line="276" w:lineRule="auto"/>
        <w:ind w:left="380" w:right="618"/>
      </w:pPr>
      <w:r>
        <w:t xml:space="preserve">Poor air quality has been linked with many negative health effects, particularly for more susceptible populations in society such as infants, the elderly, individuals with pre-existing health conditions, and for more severe outcomes, such as mortality and </w:t>
      </w:r>
      <w:r w:rsidR="000B01EB">
        <w:t>hospitalization</w:t>
      </w:r>
      <w:r>
        <w:t>. A growing body of evidence indicates that pollution also has more subtle effects on workers by reducing how</w:t>
      </w:r>
      <w:r>
        <w:rPr>
          <w:spacing w:val="-2"/>
        </w:rPr>
        <w:t xml:space="preserve"> </w:t>
      </w:r>
      <w:r>
        <w:t>much</w:t>
      </w:r>
      <w:r>
        <w:rPr>
          <w:spacing w:val="-2"/>
        </w:rPr>
        <w:t xml:space="preserve"> </w:t>
      </w:r>
      <w:r>
        <w:t>is</w:t>
      </w:r>
      <w:r>
        <w:rPr>
          <w:spacing w:val="-2"/>
        </w:rPr>
        <w:t xml:space="preserve"> </w:t>
      </w:r>
      <w:r>
        <w:t>produced</w:t>
      </w:r>
      <w:r>
        <w:rPr>
          <w:spacing w:val="-2"/>
        </w:rPr>
        <w:t xml:space="preserve"> </w:t>
      </w:r>
      <w:r>
        <w:t>“on</w:t>
      </w:r>
      <w:r>
        <w:rPr>
          <w:spacing w:val="-2"/>
        </w:rPr>
        <w:t xml:space="preserve"> </w:t>
      </w:r>
      <w:r>
        <w:t>the</w:t>
      </w:r>
      <w:r>
        <w:rPr>
          <w:spacing w:val="-2"/>
        </w:rPr>
        <w:t xml:space="preserve"> </w:t>
      </w:r>
      <w:r>
        <w:t>job.”</w:t>
      </w:r>
      <w:r>
        <w:rPr>
          <w:spacing w:val="-2"/>
        </w:rPr>
        <w:t xml:space="preserve"> </w:t>
      </w:r>
      <w:r>
        <w:t>Such</w:t>
      </w:r>
      <w:r>
        <w:rPr>
          <w:spacing w:val="-2"/>
        </w:rPr>
        <w:t xml:space="preserve"> </w:t>
      </w:r>
      <w:r>
        <w:t>productivity</w:t>
      </w:r>
      <w:r>
        <w:rPr>
          <w:spacing w:val="-2"/>
        </w:rPr>
        <w:t xml:space="preserve"> </w:t>
      </w:r>
      <w:r>
        <w:t>losses</w:t>
      </w:r>
      <w:r>
        <w:rPr>
          <w:spacing w:val="-2"/>
        </w:rPr>
        <w:t xml:space="preserve"> </w:t>
      </w:r>
      <w:r>
        <w:t>occur</w:t>
      </w:r>
      <w:r>
        <w:rPr>
          <w:spacing w:val="-2"/>
        </w:rPr>
        <w:t xml:space="preserve"> </w:t>
      </w:r>
      <w:r>
        <w:t>at</w:t>
      </w:r>
      <w:r>
        <w:rPr>
          <w:spacing w:val="-2"/>
        </w:rPr>
        <w:t xml:space="preserve"> </w:t>
      </w:r>
      <w:r>
        <w:t>pollution</w:t>
      </w:r>
      <w:r>
        <w:rPr>
          <w:spacing w:val="-2"/>
        </w:rPr>
        <w:t xml:space="preserve"> </w:t>
      </w:r>
      <w:r>
        <w:t xml:space="preserve">levels that comply with air quality standards and guidelines (Pestel and </w:t>
      </w:r>
      <w:proofErr w:type="spellStart"/>
      <w:r>
        <w:t>Neidell</w:t>
      </w:r>
      <w:proofErr w:type="spellEnd"/>
      <w:r>
        <w:t>, 2023).</w:t>
      </w:r>
    </w:p>
    <w:p w14:paraId="27E1AA38" w14:textId="77777777" w:rsidR="00490FD7" w:rsidRDefault="00490FD7" w:rsidP="00130688">
      <w:pPr>
        <w:pStyle w:val="BodyText"/>
        <w:spacing w:before="41"/>
      </w:pPr>
    </w:p>
    <w:p w14:paraId="63DECF9A" w14:textId="52DA8BB0" w:rsidR="00130688" w:rsidRDefault="00130688" w:rsidP="00130688">
      <w:pPr>
        <w:pStyle w:val="BodyText"/>
        <w:spacing w:after="240" w:line="276" w:lineRule="auto"/>
        <w:ind w:left="380" w:right="618"/>
      </w:pPr>
      <w:r>
        <w:t xml:space="preserve">Pestel and </w:t>
      </w:r>
      <w:proofErr w:type="spellStart"/>
      <w:r>
        <w:t>Neidell</w:t>
      </w:r>
      <w:proofErr w:type="spellEnd"/>
      <w:r>
        <w:t xml:space="preserve"> (2023) argue that f</w:t>
      </w:r>
      <w:r w:rsidR="00E46432">
        <w:t>ocusing on worker productivity as an outcome is important, for at</w:t>
      </w:r>
      <w:r w:rsidR="00E46432">
        <w:rPr>
          <w:spacing w:val="-3"/>
        </w:rPr>
        <w:t xml:space="preserve"> </w:t>
      </w:r>
      <w:r w:rsidR="00E46432">
        <w:t>least</w:t>
      </w:r>
      <w:r w:rsidR="00E46432">
        <w:rPr>
          <w:spacing w:val="-3"/>
        </w:rPr>
        <w:t xml:space="preserve"> </w:t>
      </w:r>
      <w:r w:rsidR="00E46432" w:rsidRPr="00130688">
        <w:rPr>
          <w:iCs/>
        </w:rPr>
        <w:t>three</w:t>
      </w:r>
      <w:r w:rsidR="00E46432">
        <w:rPr>
          <w:i/>
          <w:spacing w:val="-3"/>
        </w:rPr>
        <w:t xml:space="preserve"> </w:t>
      </w:r>
      <w:r w:rsidR="00E46432">
        <w:t>reasons</w:t>
      </w:r>
      <w:r>
        <w:rPr>
          <w:spacing w:val="40"/>
        </w:rPr>
        <w:t>:</w:t>
      </w:r>
    </w:p>
    <w:p w14:paraId="667557B2" w14:textId="77777777" w:rsidR="00130688" w:rsidRDefault="00E46432" w:rsidP="00130688">
      <w:pPr>
        <w:pStyle w:val="BodyText"/>
        <w:spacing w:after="240" w:line="276" w:lineRule="auto"/>
        <w:ind w:left="380" w:right="618"/>
      </w:pPr>
      <w:r w:rsidRPr="00130688">
        <w:rPr>
          <w:iCs/>
        </w:rPr>
        <w:t>First</w:t>
      </w:r>
      <w:r>
        <w:t xml:space="preserve">, most prior evidence that has looked at the effects of pollution has focused on health outcomes, and typically rather extreme events, such as mortality and </w:t>
      </w:r>
      <w:proofErr w:type="gramStart"/>
      <w:r>
        <w:t>hospitalizations</w:t>
      </w:r>
      <w:proofErr w:type="gramEnd"/>
      <w:r>
        <w:t>. As such, this approach misses the more subtle effects of pollution</w:t>
      </w:r>
      <w:r>
        <w:rPr>
          <w:spacing w:val="-3"/>
        </w:rPr>
        <w:t xml:space="preserve"> </w:t>
      </w:r>
      <w:r>
        <w:t>that</w:t>
      </w:r>
      <w:r>
        <w:rPr>
          <w:spacing w:val="-3"/>
        </w:rPr>
        <w:t xml:space="preserve"> </w:t>
      </w:r>
      <w:r>
        <w:t>do</w:t>
      </w:r>
      <w:r>
        <w:rPr>
          <w:spacing w:val="-3"/>
        </w:rPr>
        <w:t xml:space="preserve"> </w:t>
      </w:r>
      <w:r>
        <w:t xml:space="preserve">not lead to such dramatic changes in </w:t>
      </w:r>
      <w:proofErr w:type="gramStart"/>
      <w:r>
        <w:t>health, but</w:t>
      </w:r>
      <w:proofErr w:type="gramEnd"/>
      <w:r>
        <w:t xml:space="preserve"> may nonetheless affect people on a</w:t>
      </w:r>
      <w:r>
        <w:rPr>
          <w:spacing w:val="-2"/>
        </w:rPr>
        <w:t xml:space="preserve"> </w:t>
      </w:r>
      <w:r>
        <w:t>daily</w:t>
      </w:r>
      <w:r>
        <w:rPr>
          <w:spacing w:val="-2"/>
        </w:rPr>
        <w:t xml:space="preserve"> </w:t>
      </w:r>
      <w:r>
        <w:t>basis.</w:t>
      </w:r>
      <w:r>
        <w:rPr>
          <w:spacing w:val="-2"/>
        </w:rPr>
        <w:t xml:space="preserve"> </w:t>
      </w:r>
      <w:r>
        <w:t xml:space="preserve">If productivity is thought of as a summary measure of the wide range of daily influences that a worker experiences, then it would </w:t>
      </w:r>
      <w:proofErr w:type="gramStart"/>
      <w:r>
        <w:t>necessarily have to</w:t>
      </w:r>
      <w:proofErr w:type="gramEnd"/>
      <w:r>
        <w:t xml:space="preserve"> capture these more subtle daily influences, as well as the more direct and obvious ones, such as asthma attacks. </w:t>
      </w:r>
    </w:p>
    <w:p w14:paraId="4FD2C926" w14:textId="77777777" w:rsidR="00130688" w:rsidRDefault="00E46432" w:rsidP="00130688">
      <w:pPr>
        <w:pStyle w:val="BodyText"/>
        <w:spacing w:after="240" w:line="276" w:lineRule="auto"/>
        <w:ind w:left="380" w:right="618"/>
        <w:rPr>
          <w:spacing w:val="-3"/>
        </w:rPr>
      </w:pPr>
      <w:r>
        <w:t xml:space="preserve">The </w:t>
      </w:r>
      <w:r w:rsidRPr="00130688">
        <w:rPr>
          <w:iCs/>
        </w:rPr>
        <w:t>second</w:t>
      </w:r>
      <w:r>
        <w:rPr>
          <w:i/>
        </w:rPr>
        <w:t xml:space="preserve"> </w:t>
      </w:r>
      <w:r w:rsidR="00130688">
        <w:t>reason</w:t>
      </w:r>
      <w:r>
        <w:t xml:space="preserve"> why productivity is an important outcome is that these more subtle effects of pollution on society may be very widespread. Many of the studies that focus on the extreme outcomes mentioned above typically focus on more sensitive populations, such as infants, the elderly, and those with underlying health conditions, rather than on the whole working-age population. They, therefore, miss a large fraction of the total population. </w:t>
      </w:r>
      <w:proofErr w:type="gramStart"/>
      <w:r>
        <w:t>By definition, productivity</w:t>
      </w:r>
      <w:proofErr w:type="gramEnd"/>
      <w:r>
        <w:t xml:space="preserve"> focuses on the working-age population, and by doing so identifies effects of pollution that may be more widespread than was previously</w:t>
      </w:r>
      <w:r>
        <w:rPr>
          <w:spacing w:val="-3"/>
        </w:rPr>
        <w:t xml:space="preserve"> </w:t>
      </w:r>
      <w:r>
        <w:t>believed.</w:t>
      </w:r>
      <w:r>
        <w:rPr>
          <w:spacing w:val="-3"/>
        </w:rPr>
        <w:t xml:space="preserve"> </w:t>
      </w:r>
    </w:p>
    <w:p w14:paraId="174BE9EF" w14:textId="5F1BFD57" w:rsidR="00490FD7" w:rsidRDefault="00E46432" w:rsidP="00130688">
      <w:pPr>
        <w:pStyle w:val="BodyText"/>
        <w:spacing w:line="276" w:lineRule="auto"/>
        <w:ind w:left="380" w:right="618"/>
      </w:pPr>
      <w:r w:rsidRPr="00130688">
        <w:rPr>
          <w:iCs/>
        </w:rPr>
        <w:t>Third</w:t>
      </w:r>
      <w:r>
        <w:t>,</w:t>
      </w:r>
      <w:r>
        <w:rPr>
          <w:spacing w:val="-3"/>
        </w:rPr>
        <w:t xml:space="preserve"> </w:t>
      </w:r>
      <w:r>
        <w:t>productivity</w:t>
      </w:r>
      <w:r>
        <w:rPr>
          <w:spacing w:val="-3"/>
        </w:rPr>
        <w:t xml:space="preserve"> </w:t>
      </w:r>
      <w:r>
        <w:t>is</w:t>
      </w:r>
      <w:r>
        <w:rPr>
          <w:spacing w:val="-3"/>
        </w:rPr>
        <w:t xml:space="preserve"> </w:t>
      </w:r>
      <w:r>
        <w:t>an outcome that is easily monetized, which therefore makes it relatively straightforward to calculate its cost to society and to include it in cost–benefit analyses of air quality policies. Quantifying the full range of effects that pollution causes is</w:t>
      </w:r>
      <w:r>
        <w:rPr>
          <w:spacing w:val="-3"/>
        </w:rPr>
        <w:t xml:space="preserve"> </w:t>
      </w:r>
      <w:r>
        <w:t>essential</w:t>
      </w:r>
      <w:r>
        <w:rPr>
          <w:spacing w:val="-3"/>
        </w:rPr>
        <w:t xml:space="preserve"> </w:t>
      </w:r>
      <w:r>
        <w:t>for</w:t>
      </w:r>
      <w:r>
        <w:rPr>
          <w:spacing w:val="-3"/>
        </w:rPr>
        <w:t xml:space="preserve"> </w:t>
      </w:r>
      <w:r>
        <w:t>the</w:t>
      </w:r>
      <w:r>
        <w:rPr>
          <w:spacing w:val="-3"/>
        </w:rPr>
        <w:t xml:space="preserve"> </w:t>
      </w:r>
      <w:r>
        <w:t>setting</w:t>
      </w:r>
      <w:r>
        <w:rPr>
          <w:spacing w:val="-3"/>
        </w:rPr>
        <w:t xml:space="preserve"> </w:t>
      </w:r>
      <w:r>
        <w:t>of</w:t>
      </w:r>
      <w:r>
        <w:rPr>
          <w:spacing w:val="-3"/>
        </w:rPr>
        <w:t xml:space="preserve"> </w:t>
      </w:r>
      <w:r>
        <w:t>optimal environmental policy. Whereas measuring the benefits from various health outcomes involves controversial assumptions, such as monetizing the discomfort caused by illness, productivity effects can be quantified directly as the loss in worker earnings.</w:t>
      </w:r>
    </w:p>
    <w:p w14:paraId="565A2328" w14:textId="77777777" w:rsidR="00490FD7" w:rsidRDefault="00490FD7" w:rsidP="00130688">
      <w:pPr>
        <w:pStyle w:val="BodyText"/>
        <w:spacing w:before="41"/>
      </w:pPr>
    </w:p>
    <w:p w14:paraId="4F29054E" w14:textId="47B60F48" w:rsidR="00490FD7" w:rsidRDefault="00E46432" w:rsidP="002377A7">
      <w:pPr>
        <w:pStyle w:val="BodyText"/>
        <w:spacing w:before="1" w:line="276" w:lineRule="auto"/>
        <w:ind w:left="380" w:right="622"/>
      </w:pPr>
      <w:r>
        <w:t>Analyzing if external factors affect</w:t>
      </w:r>
      <w:r>
        <w:rPr>
          <w:spacing w:val="-3"/>
        </w:rPr>
        <w:t xml:space="preserve"> </w:t>
      </w:r>
      <w:r>
        <w:t>the</w:t>
      </w:r>
      <w:r>
        <w:rPr>
          <w:spacing w:val="-3"/>
        </w:rPr>
        <w:t xml:space="preserve"> </w:t>
      </w:r>
      <w:r>
        <w:t>judicial</w:t>
      </w:r>
      <w:r>
        <w:rPr>
          <w:spacing w:val="-3"/>
        </w:rPr>
        <w:t xml:space="preserve"> </w:t>
      </w:r>
      <w:r>
        <w:t>process</w:t>
      </w:r>
      <w:r>
        <w:rPr>
          <w:spacing w:val="-3"/>
        </w:rPr>
        <w:t xml:space="preserve"> </w:t>
      </w:r>
      <w:r>
        <w:t>is</w:t>
      </w:r>
      <w:r>
        <w:rPr>
          <w:spacing w:val="-3"/>
        </w:rPr>
        <w:t xml:space="preserve"> </w:t>
      </w:r>
      <w:r>
        <w:t>a</w:t>
      </w:r>
      <w:r>
        <w:rPr>
          <w:spacing w:val="-3"/>
        </w:rPr>
        <w:t xml:space="preserve"> </w:t>
      </w:r>
      <w:r>
        <w:t>long-discussed</w:t>
      </w:r>
      <w:r>
        <w:rPr>
          <w:spacing w:val="-3"/>
        </w:rPr>
        <w:t xml:space="preserve"> </w:t>
      </w:r>
      <w:r>
        <w:t>legal</w:t>
      </w:r>
      <w:r>
        <w:rPr>
          <w:spacing w:val="-3"/>
        </w:rPr>
        <w:t xml:space="preserve"> </w:t>
      </w:r>
      <w:r>
        <w:t>issue</w:t>
      </w:r>
      <w:r>
        <w:rPr>
          <w:spacing w:val="-3"/>
        </w:rPr>
        <w:t xml:space="preserve"> </w:t>
      </w:r>
      <w:r>
        <w:t>with</w:t>
      </w:r>
      <w:r>
        <w:rPr>
          <w:spacing w:val="-3"/>
        </w:rPr>
        <w:t xml:space="preserve"> </w:t>
      </w:r>
      <w:r>
        <w:t xml:space="preserve">two leading schools of </w:t>
      </w:r>
      <w:r w:rsidR="00130688">
        <w:t>thought:</w:t>
      </w:r>
      <w:r>
        <w:t xml:space="preserve"> </w:t>
      </w:r>
      <w:r w:rsidRPr="00130688">
        <w:rPr>
          <w:iCs/>
        </w:rPr>
        <w:t>legal formalism and legal realism</w:t>
      </w:r>
      <w:r>
        <w:t>. Legal formalism assumes that judges make decisions by systematically applying facts and arguments within the legal framework. Legal</w:t>
      </w:r>
      <w:r>
        <w:rPr>
          <w:spacing w:val="-3"/>
        </w:rPr>
        <w:t xml:space="preserve"> </w:t>
      </w:r>
      <w:r>
        <w:t>realism</w:t>
      </w:r>
      <w:r>
        <w:rPr>
          <w:spacing w:val="-3"/>
        </w:rPr>
        <w:t xml:space="preserve"> </w:t>
      </w:r>
      <w:r>
        <w:t>contends</w:t>
      </w:r>
      <w:r>
        <w:rPr>
          <w:spacing w:val="-3"/>
        </w:rPr>
        <w:t xml:space="preserve"> </w:t>
      </w:r>
      <w:r>
        <w:t>that,</w:t>
      </w:r>
      <w:r>
        <w:rPr>
          <w:spacing w:val="-3"/>
        </w:rPr>
        <w:t xml:space="preserve"> </w:t>
      </w:r>
      <w:r>
        <w:t>although</w:t>
      </w:r>
      <w:r>
        <w:rPr>
          <w:spacing w:val="-3"/>
        </w:rPr>
        <w:t xml:space="preserve"> </w:t>
      </w:r>
      <w:r>
        <w:t>the</w:t>
      </w:r>
      <w:r>
        <w:rPr>
          <w:spacing w:val="-3"/>
        </w:rPr>
        <w:t xml:space="preserve"> </w:t>
      </w:r>
      <w:r>
        <w:t>law</w:t>
      </w:r>
      <w:r>
        <w:rPr>
          <w:spacing w:val="-3"/>
        </w:rPr>
        <w:t xml:space="preserve"> </w:t>
      </w:r>
      <w:r>
        <w:t>and</w:t>
      </w:r>
      <w:r>
        <w:rPr>
          <w:spacing w:val="-3"/>
        </w:rPr>
        <w:t xml:space="preserve"> </w:t>
      </w:r>
      <w:r>
        <w:t>previous</w:t>
      </w:r>
      <w:r>
        <w:rPr>
          <w:spacing w:val="-3"/>
        </w:rPr>
        <w:t xml:space="preserve"> </w:t>
      </w:r>
      <w:r>
        <w:t>rules</w:t>
      </w:r>
      <w:r>
        <w:rPr>
          <w:spacing w:val="-3"/>
        </w:rPr>
        <w:t xml:space="preserve"> </w:t>
      </w:r>
      <w:r>
        <w:t>are</w:t>
      </w:r>
      <w:r>
        <w:rPr>
          <w:spacing w:val="-3"/>
        </w:rPr>
        <w:t xml:space="preserve"> </w:t>
      </w:r>
      <w:r>
        <w:t>relevant,</w:t>
      </w:r>
      <w:r>
        <w:rPr>
          <w:spacing w:val="-3"/>
        </w:rPr>
        <w:t xml:space="preserve"> </w:t>
      </w:r>
      <w:r>
        <w:t xml:space="preserve">other </w:t>
      </w:r>
      <w:r>
        <w:lastRenderedPageBreak/>
        <w:t>factors like lunch breaks, religion, political views, race, or the environment can influence judicial</w:t>
      </w:r>
      <w:r>
        <w:rPr>
          <w:spacing w:val="15"/>
        </w:rPr>
        <w:t xml:space="preserve"> </w:t>
      </w:r>
      <w:r>
        <w:t>rulings</w:t>
      </w:r>
      <w:r>
        <w:rPr>
          <w:spacing w:val="15"/>
        </w:rPr>
        <w:t xml:space="preserve"> </w:t>
      </w:r>
      <w:r>
        <w:t>(Sarmiento</w:t>
      </w:r>
      <w:r>
        <w:rPr>
          <w:spacing w:val="15"/>
        </w:rPr>
        <w:t xml:space="preserve"> </w:t>
      </w:r>
      <w:r>
        <w:t>and</w:t>
      </w:r>
      <w:r>
        <w:rPr>
          <w:spacing w:val="15"/>
        </w:rPr>
        <w:t xml:space="preserve"> </w:t>
      </w:r>
      <w:proofErr w:type="spellStart"/>
      <w:r>
        <w:t>Nowokoswaki</w:t>
      </w:r>
      <w:proofErr w:type="spellEnd"/>
      <w:r>
        <w:t>,</w:t>
      </w:r>
      <w:r>
        <w:rPr>
          <w:spacing w:val="15"/>
        </w:rPr>
        <w:t xml:space="preserve"> </w:t>
      </w:r>
      <w:r>
        <w:t>2023).</w:t>
      </w:r>
      <w:r>
        <w:rPr>
          <w:spacing w:val="15"/>
        </w:rPr>
        <w:t xml:space="preserve"> </w:t>
      </w:r>
      <w:r>
        <w:t xml:space="preserve">Most realists contend that these </w:t>
      </w:r>
      <w:r>
        <w:rPr>
          <w:spacing w:val="-2"/>
        </w:rPr>
        <w:t>external</w:t>
      </w:r>
      <w:r w:rsidR="002377A7">
        <w:rPr>
          <w:spacing w:val="-2"/>
        </w:rPr>
        <w:t xml:space="preserve"> </w:t>
      </w:r>
      <w:r>
        <w:t>factors are more important than the law by arguing that judges use heuristics and biases to make decisions and only use the law to support their rulings.</w:t>
      </w:r>
    </w:p>
    <w:p w14:paraId="73BD4EF5" w14:textId="77777777" w:rsidR="00490FD7" w:rsidRDefault="00490FD7">
      <w:pPr>
        <w:pStyle w:val="BodyText"/>
        <w:rPr>
          <w:sz w:val="20"/>
        </w:rPr>
      </w:pPr>
    </w:p>
    <w:p w14:paraId="408B141A" w14:textId="77777777" w:rsidR="00490FD7" w:rsidRDefault="00E46432">
      <w:pPr>
        <w:pStyle w:val="BodyText"/>
        <w:spacing w:before="44"/>
        <w:rPr>
          <w:sz w:val="20"/>
        </w:rPr>
      </w:pPr>
      <w:r>
        <w:rPr>
          <w:noProof/>
        </w:rPr>
        <w:drawing>
          <wp:anchor distT="0" distB="0" distL="0" distR="0" simplePos="0" relativeHeight="487593984" behindDoc="1" locked="0" layoutInCell="1" allowOverlap="1" wp14:anchorId="141AB2A6" wp14:editId="5F44469F">
            <wp:simplePos x="0" y="0"/>
            <wp:positionH relativeFrom="page">
              <wp:posOffset>1271954</wp:posOffset>
            </wp:positionH>
            <wp:positionV relativeFrom="paragraph">
              <wp:posOffset>189544</wp:posOffset>
            </wp:positionV>
            <wp:extent cx="5446353" cy="3084385"/>
            <wp:effectExtent l="0" t="0" r="0" b="0"/>
            <wp:wrapTopAndBottom/>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0" cstate="print"/>
                    <a:stretch>
                      <a:fillRect/>
                    </a:stretch>
                  </pic:blipFill>
                  <pic:spPr>
                    <a:xfrm>
                      <a:off x="0" y="0"/>
                      <a:ext cx="5446353" cy="3084385"/>
                    </a:xfrm>
                    <a:prstGeom prst="rect">
                      <a:avLst/>
                    </a:prstGeom>
                  </pic:spPr>
                </pic:pic>
              </a:graphicData>
            </a:graphic>
          </wp:anchor>
        </w:drawing>
      </w:r>
    </w:p>
    <w:p w14:paraId="328EF01B" w14:textId="77777777" w:rsidR="00490FD7" w:rsidRDefault="00E46432">
      <w:pPr>
        <w:pStyle w:val="BodyText"/>
        <w:spacing w:before="187"/>
        <w:ind w:left="180" w:right="419"/>
        <w:jc w:val="center"/>
      </w:pPr>
      <w:r>
        <w:t xml:space="preserve">Figure 1: Legal Formalism and Legal </w:t>
      </w:r>
      <w:r>
        <w:rPr>
          <w:spacing w:val="-2"/>
        </w:rPr>
        <w:t>Realism</w:t>
      </w:r>
    </w:p>
    <w:p w14:paraId="309DFA4D" w14:textId="77777777" w:rsidR="00490FD7" w:rsidRDefault="00E46432">
      <w:pPr>
        <w:spacing w:before="41"/>
        <w:ind w:left="405" w:right="642"/>
        <w:jc w:val="center"/>
        <w:rPr>
          <w:i/>
          <w:sz w:val="20"/>
        </w:rPr>
      </w:pPr>
      <w:r>
        <w:rPr>
          <w:i/>
          <w:sz w:val="20"/>
        </w:rPr>
        <w:t>Source:</w:t>
      </w:r>
      <w:r>
        <w:rPr>
          <w:i/>
          <w:spacing w:val="-10"/>
          <w:sz w:val="20"/>
        </w:rPr>
        <w:t xml:space="preserve"> </w:t>
      </w:r>
      <w:r>
        <w:rPr>
          <w:i/>
          <w:sz w:val="20"/>
        </w:rPr>
        <w:t>Sarmiento</w:t>
      </w:r>
      <w:r>
        <w:rPr>
          <w:i/>
          <w:spacing w:val="-9"/>
          <w:sz w:val="20"/>
        </w:rPr>
        <w:t xml:space="preserve"> </w:t>
      </w:r>
      <w:r>
        <w:rPr>
          <w:i/>
          <w:sz w:val="20"/>
        </w:rPr>
        <w:t>and</w:t>
      </w:r>
      <w:r>
        <w:rPr>
          <w:i/>
          <w:spacing w:val="-9"/>
          <w:sz w:val="20"/>
        </w:rPr>
        <w:t xml:space="preserve"> </w:t>
      </w:r>
      <w:proofErr w:type="spellStart"/>
      <w:r>
        <w:rPr>
          <w:i/>
          <w:sz w:val="20"/>
        </w:rPr>
        <w:t>Nowokoswaki</w:t>
      </w:r>
      <w:proofErr w:type="spellEnd"/>
      <w:r>
        <w:rPr>
          <w:i/>
          <w:spacing w:val="-9"/>
          <w:sz w:val="20"/>
        </w:rPr>
        <w:t xml:space="preserve"> </w:t>
      </w:r>
      <w:r>
        <w:rPr>
          <w:i/>
          <w:spacing w:val="-2"/>
          <w:sz w:val="20"/>
        </w:rPr>
        <w:t>(2023)</w:t>
      </w:r>
    </w:p>
    <w:p w14:paraId="3798222E" w14:textId="77777777" w:rsidR="00490FD7" w:rsidRDefault="00490FD7">
      <w:pPr>
        <w:pStyle w:val="BodyText"/>
        <w:rPr>
          <w:i/>
          <w:sz w:val="20"/>
        </w:rPr>
      </w:pPr>
    </w:p>
    <w:p w14:paraId="6264201E" w14:textId="77777777" w:rsidR="00490FD7" w:rsidRDefault="00490FD7">
      <w:pPr>
        <w:pStyle w:val="BodyText"/>
        <w:spacing w:before="51"/>
        <w:rPr>
          <w:i/>
          <w:sz w:val="20"/>
        </w:rPr>
      </w:pPr>
    </w:p>
    <w:p w14:paraId="3630FDD5" w14:textId="3EBE901D" w:rsidR="00490FD7" w:rsidRDefault="00E46432" w:rsidP="00130688">
      <w:pPr>
        <w:pStyle w:val="BodyText"/>
        <w:spacing w:line="276" w:lineRule="auto"/>
        <w:ind w:left="380" w:right="618"/>
      </w:pPr>
      <w:r>
        <w:t>Figure 1 shows the main difference between legal formalism and legal realism. While</w:t>
      </w:r>
      <w:r>
        <w:rPr>
          <w:spacing w:val="-3"/>
        </w:rPr>
        <w:t xml:space="preserve"> </w:t>
      </w:r>
      <w:r>
        <w:t>in</w:t>
      </w:r>
      <w:r>
        <w:rPr>
          <w:spacing w:val="-3"/>
        </w:rPr>
        <w:t xml:space="preserve"> </w:t>
      </w:r>
      <w:r>
        <w:t>legal formalism, rulings depend on facts, arguments, the law, and precedence, in legal realism,</w:t>
      </w:r>
      <w:r>
        <w:rPr>
          <w:spacing w:val="-4"/>
        </w:rPr>
        <w:t xml:space="preserve"> </w:t>
      </w:r>
      <w:r>
        <w:t>they depend on heuristics, biases, and external factors. In</w:t>
      </w:r>
      <w:r>
        <w:rPr>
          <w:spacing w:val="40"/>
        </w:rPr>
        <w:t xml:space="preserve"> </w:t>
      </w:r>
      <w:r>
        <w:t>legal realism, the judges only use the law and information of preceding cases to justify their ruling. If legal realism is correct and external factors are the main determinants of judicial decisions, it could lead to a generalized lack of trust in the system’s impartiality</w:t>
      </w:r>
      <w:r>
        <w:rPr>
          <w:spacing w:val="-3"/>
        </w:rPr>
        <w:t xml:space="preserve"> </w:t>
      </w:r>
      <w:r>
        <w:t>with</w:t>
      </w:r>
      <w:r>
        <w:rPr>
          <w:spacing w:val="-3"/>
        </w:rPr>
        <w:t xml:space="preserve"> </w:t>
      </w:r>
      <w:r>
        <w:t>relevant consequences for the rule of law in modern democracies.</w:t>
      </w:r>
    </w:p>
    <w:p w14:paraId="1086B38B" w14:textId="77777777" w:rsidR="00490FD7" w:rsidRDefault="00490FD7">
      <w:pPr>
        <w:pStyle w:val="BodyText"/>
        <w:spacing w:before="41"/>
      </w:pPr>
    </w:p>
    <w:p w14:paraId="67820D14" w14:textId="1F793B9F" w:rsidR="00490FD7" w:rsidRDefault="00E46432" w:rsidP="00130688">
      <w:pPr>
        <w:pStyle w:val="BodyText"/>
        <w:spacing w:line="276" w:lineRule="auto"/>
        <w:ind w:left="380" w:right="618"/>
        <w:sectPr w:rsidR="00490FD7">
          <w:pgSz w:w="12240" w:h="15840"/>
          <w:pgMar w:top="1460" w:right="820" w:bottom="1020" w:left="1240" w:header="652" w:footer="820" w:gutter="0"/>
          <w:cols w:space="720"/>
        </w:sectPr>
      </w:pPr>
      <w:r>
        <w:t>Although previous research has found consistent</w:t>
      </w:r>
      <w:r>
        <w:rPr>
          <w:spacing w:val="-2"/>
        </w:rPr>
        <w:t xml:space="preserve"> </w:t>
      </w:r>
      <w:r>
        <w:t>evidence</w:t>
      </w:r>
      <w:r>
        <w:rPr>
          <w:spacing w:val="-2"/>
        </w:rPr>
        <w:t xml:space="preserve"> </w:t>
      </w:r>
      <w:r>
        <w:t>of</w:t>
      </w:r>
      <w:r>
        <w:rPr>
          <w:spacing w:val="-2"/>
        </w:rPr>
        <w:t xml:space="preserve"> </w:t>
      </w:r>
      <w:r>
        <w:t>external</w:t>
      </w:r>
      <w:r>
        <w:rPr>
          <w:spacing w:val="-2"/>
        </w:rPr>
        <w:t xml:space="preserve"> </w:t>
      </w:r>
      <w:r>
        <w:t>factors</w:t>
      </w:r>
      <w:r>
        <w:rPr>
          <w:spacing w:val="-2"/>
        </w:rPr>
        <w:t xml:space="preserve"> </w:t>
      </w:r>
      <w:r>
        <w:t>like</w:t>
      </w:r>
      <w:r>
        <w:rPr>
          <w:spacing w:val="-2"/>
        </w:rPr>
        <w:t xml:space="preserve"> </w:t>
      </w:r>
      <w:r>
        <w:t>lunch</w:t>
      </w:r>
      <w:r>
        <w:rPr>
          <w:spacing w:val="-2"/>
        </w:rPr>
        <w:t xml:space="preserve"> </w:t>
      </w:r>
      <w:r>
        <w:t>breaks (Danziger et</w:t>
      </w:r>
      <w:r>
        <w:rPr>
          <w:spacing w:val="40"/>
        </w:rPr>
        <w:t xml:space="preserve"> </w:t>
      </w:r>
      <w:r>
        <w:t>al. 2011), religion (Shayo and Zussman 2011), and gender (Anwar et</w:t>
      </w:r>
      <w:r>
        <w:rPr>
          <w:spacing w:val="40"/>
        </w:rPr>
        <w:t xml:space="preserve"> </w:t>
      </w:r>
      <w:r>
        <w:t xml:space="preserve">al. 2019) affecting sentencing decisions, no in-lab experiments or randomized control trials have yet unquestionably proven their existence (Tampubolon et al. 2023). </w:t>
      </w:r>
    </w:p>
    <w:p w14:paraId="033CA118" w14:textId="77777777" w:rsidR="00490FD7" w:rsidRDefault="00490FD7">
      <w:pPr>
        <w:pStyle w:val="BodyText"/>
        <w:spacing w:before="87"/>
        <w:rPr>
          <w:sz w:val="20"/>
        </w:rPr>
      </w:pPr>
    </w:p>
    <w:p w14:paraId="47FCCD9D" w14:textId="77777777" w:rsidR="00490FD7" w:rsidRDefault="00E46432">
      <w:pPr>
        <w:pStyle w:val="BodyText"/>
        <w:ind w:left="443"/>
        <w:rPr>
          <w:sz w:val="20"/>
        </w:rPr>
      </w:pPr>
      <w:r>
        <w:rPr>
          <w:noProof/>
          <w:sz w:val="20"/>
        </w:rPr>
        <w:drawing>
          <wp:inline distT="0" distB="0" distL="0" distR="0" wp14:anchorId="59562411" wp14:editId="58B28601">
            <wp:extent cx="6100100" cy="1626870"/>
            <wp:effectExtent l="0" t="0" r="0" b="0"/>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1" cstate="print"/>
                    <a:stretch>
                      <a:fillRect/>
                    </a:stretch>
                  </pic:blipFill>
                  <pic:spPr>
                    <a:xfrm>
                      <a:off x="0" y="0"/>
                      <a:ext cx="6100100" cy="1626870"/>
                    </a:xfrm>
                    <a:prstGeom prst="rect">
                      <a:avLst/>
                    </a:prstGeom>
                  </pic:spPr>
                </pic:pic>
              </a:graphicData>
            </a:graphic>
          </wp:inline>
        </w:drawing>
      </w:r>
    </w:p>
    <w:p w14:paraId="4868ED35" w14:textId="77777777" w:rsidR="00490FD7" w:rsidRDefault="00E46432">
      <w:pPr>
        <w:pStyle w:val="BodyText"/>
        <w:spacing w:before="143"/>
        <w:ind w:left="404" w:right="642"/>
        <w:jc w:val="center"/>
      </w:pPr>
      <w:r>
        <w:t xml:space="preserve">Figure 2: Legal </w:t>
      </w:r>
      <w:proofErr w:type="gramStart"/>
      <w:r>
        <w:t>Decision Making</w:t>
      </w:r>
      <w:proofErr w:type="gramEnd"/>
      <w:r>
        <w:t xml:space="preserve"> delays resulting from Legal </w:t>
      </w:r>
      <w:r>
        <w:rPr>
          <w:spacing w:val="-2"/>
        </w:rPr>
        <w:t>Realism</w:t>
      </w:r>
    </w:p>
    <w:p w14:paraId="7C60EDAE" w14:textId="77777777" w:rsidR="00490FD7" w:rsidRDefault="00490FD7">
      <w:pPr>
        <w:pStyle w:val="BodyText"/>
        <w:spacing w:before="241"/>
      </w:pPr>
    </w:p>
    <w:p w14:paraId="2D8B2DD7" w14:textId="77777777" w:rsidR="00490FD7" w:rsidRDefault="00E46432" w:rsidP="00130688">
      <w:pPr>
        <w:pStyle w:val="BodyText"/>
        <w:spacing w:line="276" w:lineRule="auto"/>
        <w:ind w:left="380" w:right="619"/>
      </w:pPr>
      <w:r>
        <w:t xml:space="preserve">Our hypothesis that air pollution affects </w:t>
      </w:r>
      <w:proofErr w:type="gramStart"/>
      <w:r>
        <w:t>length</w:t>
      </w:r>
      <w:proofErr w:type="gramEnd"/>
      <w:r>
        <w:t xml:space="preserve"> of court cases, hence the judge’s productivity, therefore, aligns with legal realism. Figure 2 presents the decision-making process for penal cases under legal realism. In it, a plethora of external factors like race, anchoring, and temperature affect the length of court cases. Of these, we concentrate on the effects of air pollution, i.e., we test if air pollution affects</w:t>
      </w:r>
      <w:r>
        <w:rPr>
          <w:spacing w:val="-3"/>
        </w:rPr>
        <w:t xml:space="preserve"> </w:t>
      </w:r>
      <w:proofErr w:type="gramStart"/>
      <w:r>
        <w:t>length</w:t>
      </w:r>
      <w:proofErr w:type="gramEnd"/>
      <w:r>
        <w:rPr>
          <w:spacing w:val="-3"/>
        </w:rPr>
        <w:t xml:space="preserve"> </w:t>
      </w:r>
      <w:r>
        <w:t>of</w:t>
      </w:r>
      <w:r>
        <w:rPr>
          <w:spacing w:val="-3"/>
        </w:rPr>
        <w:t xml:space="preserve"> </w:t>
      </w:r>
      <w:r>
        <w:t>court</w:t>
      </w:r>
      <w:r>
        <w:rPr>
          <w:spacing w:val="-3"/>
        </w:rPr>
        <w:t xml:space="preserve"> </w:t>
      </w:r>
      <w:r>
        <w:t>cases</w:t>
      </w:r>
      <w:r>
        <w:rPr>
          <w:spacing w:val="-3"/>
        </w:rPr>
        <w:t xml:space="preserve"> </w:t>
      </w:r>
      <w:r>
        <w:t>through</w:t>
      </w:r>
      <w:r>
        <w:rPr>
          <w:spacing w:val="-3"/>
        </w:rPr>
        <w:t xml:space="preserve"> </w:t>
      </w:r>
      <w:r>
        <w:t>its</w:t>
      </w:r>
      <w:r>
        <w:rPr>
          <w:spacing w:val="-3"/>
        </w:rPr>
        <w:t xml:space="preserve"> </w:t>
      </w:r>
      <w:r>
        <w:t>impact</w:t>
      </w:r>
      <w:r>
        <w:rPr>
          <w:spacing w:val="-3"/>
        </w:rPr>
        <w:t xml:space="preserve"> </w:t>
      </w:r>
      <w:r>
        <w:t>on</w:t>
      </w:r>
      <w:r>
        <w:rPr>
          <w:spacing w:val="-3"/>
        </w:rPr>
        <w:t xml:space="preserve"> </w:t>
      </w:r>
      <w:r>
        <w:t>human behavior and cognition.</w:t>
      </w:r>
    </w:p>
    <w:p w14:paraId="4F6A4DDF" w14:textId="77777777" w:rsidR="00490FD7" w:rsidRDefault="00490FD7" w:rsidP="00130688">
      <w:pPr>
        <w:pStyle w:val="BodyText"/>
        <w:spacing w:before="41"/>
      </w:pPr>
    </w:p>
    <w:p w14:paraId="2E27657D" w14:textId="77777777" w:rsidR="0039421F" w:rsidRDefault="00E46432" w:rsidP="0039421F">
      <w:pPr>
        <w:pStyle w:val="BodyText"/>
        <w:spacing w:before="1" w:after="240" w:line="276" w:lineRule="auto"/>
        <w:ind w:left="380" w:right="618"/>
      </w:pPr>
      <w:r>
        <w:t>Particulate matter (PM) has become increasingly prominent as regional and composite air pollution and is one of the most significant air pollution sources threatening the health of people worldwide. With the intensification of air pollution, PM2.5, the primary pollutant hazardous to human health, has been receiving increasing attention from the public and governments</w:t>
      </w:r>
      <w:r w:rsidR="0039421F">
        <w:t>.</w:t>
      </w:r>
      <w:r>
        <w:t xml:space="preserve"> </w:t>
      </w:r>
    </w:p>
    <w:p w14:paraId="30574DC1" w14:textId="77777777" w:rsidR="0039421F" w:rsidRDefault="00E46432" w:rsidP="0039421F">
      <w:pPr>
        <w:pStyle w:val="BodyText"/>
        <w:spacing w:before="1" w:after="240" w:line="276" w:lineRule="auto"/>
        <w:ind w:left="380" w:right="618"/>
        <w:rPr>
          <w:color w:val="0D0D0D"/>
        </w:rPr>
      </w:pPr>
      <w:r>
        <w:t>In terms of public health, PM2.5 seriously harms immunity and triggers respiratory</w:t>
      </w:r>
      <w:r>
        <w:rPr>
          <w:spacing w:val="-4"/>
        </w:rPr>
        <w:t xml:space="preserve"> </w:t>
      </w:r>
      <w:r>
        <w:t>and</w:t>
      </w:r>
      <w:r>
        <w:rPr>
          <w:spacing w:val="-4"/>
        </w:rPr>
        <w:t xml:space="preserve"> </w:t>
      </w:r>
      <w:r>
        <w:t>cardiovascular</w:t>
      </w:r>
      <w:r>
        <w:rPr>
          <w:spacing w:val="-4"/>
        </w:rPr>
        <w:t xml:space="preserve"> </w:t>
      </w:r>
      <w:r>
        <w:t>diseases.</w:t>
      </w:r>
      <w:r>
        <w:rPr>
          <w:spacing w:val="-4"/>
        </w:rPr>
        <w:t xml:space="preserve"> </w:t>
      </w:r>
      <w:r w:rsidR="0039421F">
        <w:rPr>
          <w:spacing w:val="-4"/>
        </w:rPr>
        <w:t>P</w:t>
      </w:r>
      <w:r>
        <w:rPr>
          <w:color w:val="0D0D0D"/>
        </w:rPr>
        <w:t>M2.5</w:t>
      </w:r>
      <w:r>
        <w:rPr>
          <w:color w:val="0D0D0D"/>
          <w:spacing w:val="-4"/>
        </w:rPr>
        <w:t xml:space="preserve"> </w:t>
      </w:r>
      <w:r>
        <w:rPr>
          <w:color w:val="0D0D0D"/>
        </w:rPr>
        <w:t>can</w:t>
      </w:r>
      <w:r>
        <w:rPr>
          <w:color w:val="0D0D0D"/>
          <w:spacing w:val="-4"/>
        </w:rPr>
        <w:t xml:space="preserve"> </w:t>
      </w:r>
      <w:r>
        <w:rPr>
          <w:color w:val="0D0D0D"/>
        </w:rPr>
        <w:t>enter</w:t>
      </w:r>
      <w:r>
        <w:rPr>
          <w:color w:val="0D0D0D"/>
          <w:spacing w:val="-4"/>
        </w:rPr>
        <w:t xml:space="preserve"> </w:t>
      </w:r>
      <w:r>
        <w:rPr>
          <w:color w:val="0D0D0D"/>
        </w:rPr>
        <w:t>the</w:t>
      </w:r>
      <w:r>
        <w:rPr>
          <w:color w:val="0D0D0D"/>
          <w:spacing w:val="-4"/>
        </w:rPr>
        <w:t xml:space="preserve"> </w:t>
      </w:r>
      <w:r>
        <w:rPr>
          <w:color w:val="0D0D0D"/>
        </w:rPr>
        <w:t>bloodstream</w:t>
      </w:r>
      <w:r>
        <w:rPr>
          <w:color w:val="0D0D0D"/>
          <w:spacing w:val="-4"/>
        </w:rPr>
        <w:t xml:space="preserve"> </w:t>
      </w:r>
      <w:r>
        <w:rPr>
          <w:color w:val="0D0D0D"/>
        </w:rPr>
        <w:t>through</w:t>
      </w:r>
      <w:r>
        <w:rPr>
          <w:color w:val="0D0D0D"/>
          <w:spacing w:val="-4"/>
        </w:rPr>
        <w:t xml:space="preserve"> </w:t>
      </w:r>
      <w:r>
        <w:rPr>
          <w:color w:val="0D0D0D"/>
        </w:rPr>
        <w:t>the</w:t>
      </w:r>
      <w:r>
        <w:rPr>
          <w:color w:val="0D0D0D"/>
          <w:spacing w:val="-4"/>
        </w:rPr>
        <w:t xml:space="preserve"> </w:t>
      </w:r>
      <w:r>
        <w:rPr>
          <w:color w:val="0D0D0D"/>
        </w:rPr>
        <w:t xml:space="preserve">respiratory system and reach the brain, leading to neuroinflammation, oxidative stress, and neurodegeneration. Additionally, PM2.5 exposure is associated with respiratory diseases such as asthma and bronchitis, which can further exacerbate cognitive impairments. These effects may impair judges' cognitive function and decision-making abilities, affecting their productivity. PM2.5-induced systemic inflammation may affect the brain's microenvironment, disrupting neurotransmitter balance and synaptic plasticity, which are essential for cognitive function. </w:t>
      </w:r>
    </w:p>
    <w:p w14:paraId="4B4EAF56" w14:textId="3CD4F080" w:rsidR="00960FB1" w:rsidRDefault="00960FB1" w:rsidP="00960FB1">
      <w:pPr>
        <w:pStyle w:val="BodyText"/>
        <w:spacing w:before="123" w:after="240" w:line="276" w:lineRule="auto"/>
        <w:ind w:left="380" w:right="621"/>
      </w:pPr>
      <w:r>
        <w:t>India grapples</w:t>
      </w:r>
      <w:r>
        <w:rPr>
          <w:spacing w:val="-3"/>
        </w:rPr>
        <w:t xml:space="preserve"> </w:t>
      </w:r>
      <w:r>
        <w:t>with</w:t>
      </w:r>
      <w:r>
        <w:rPr>
          <w:spacing w:val="-3"/>
        </w:rPr>
        <w:t xml:space="preserve"> </w:t>
      </w:r>
      <w:r>
        <w:t>severe</w:t>
      </w:r>
      <w:r>
        <w:rPr>
          <w:spacing w:val="-3"/>
        </w:rPr>
        <w:t xml:space="preserve"> </w:t>
      </w:r>
      <w:r>
        <w:t>ambient</w:t>
      </w:r>
      <w:r>
        <w:rPr>
          <w:spacing w:val="-3"/>
        </w:rPr>
        <w:t xml:space="preserve"> </w:t>
      </w:r>
      <w:r>
        <w:t>air</w:t>
      </w:r>
      <w:r>
        <w:rPr>
          <w:spacing w:val="-3"/>
        </w:rPr>
        <w:t xml:space="preserve"> </w:t>
      </w:r>
      <w:r>
        <w:t>quality</w:t>
      </w:r>
      <w:r>
        <w:rPr>
          <w:spacing w:val="-3"/>
        </w:rPr>
        <w:t xml:space="preserve"> </w:t>
      </w:r>
      <w:r>
        <w:t>issues,</w:t>
      </w:r>
      <w:r>
        <w:rPr>
          <w:spacing w:val="-3"/>
        </w:rPr>
        <w:t xml:space="preserve"> </w:t>
      </w:r>
      <w:r>
        <w:t>ranking</w:t>
      </w:r>
      <w:r>
        <w:rPr>
          <w:spacing w:val="-3"/>
        </w:rPr>
        <w:t xml:space="preserve"> </w:t>
      </w:r>
      <w:r>
        <w:t>among</w:t>
      </w:r>
      <w:r>
        <w:rPr>
          <w:spacing w:val="-3"/>
        </w:rPr>
        <w:t xml:space="preserve"> </w:t>
      </w:r>
      <w:r>
        <w:t>the</w:t>
      </w:r>
      <w:r>
        <w:rPr>
          <w:spacing w:val="-3"/>
        </w:rPr>
        <w:t xml:space="preserve"> </w:t>
      </w:r>
      <w:r>
        <w:t>world's</w:t>
      </w:r>
      <w:r>
        <w:rPr>
          <w:spacing w:val="-3"/>
        </w:rPr>
        <w:t xml:space="preserve"> </w:t>
      </w:r>
      <w:r>
        <w:t>worst.</w:t>
      </w:r>
      <w:r>
        <w:rPr>
          <w:spacing w:val="-3"/>
        </w:rPr>
        <w:t xml:space="preserve"> </w:t>
      </w:r>
      <w:r>
        <w:t xml:space="preserve">Despite World Health Organization guidelines advocating a maximum PM2.5 level of 5 </w:t>
      </w:r>
      <w:proofErr w:type="spellStart"/>
      <w:r>
        <w:t>μg</w:t>
      </w:r>
      <w:proofErr w:type="spellEnd"/>
      <w:r>
        <w:t>/m3 for health, an analysis by the Financial Times suggested that certain Indian cities exceeded this threshold by more than tenfold in 2018. Various forms of air pollution, encompassing PM pollution (PM</w:t>
      </w:r>
      <w:r>
        <w:rPr>
          <w:i/>
        </w:rPr>
        <w:t xml:space="preserve">2.5 </w:t>
      </w:r>
      <w:r>
        <w:t>and PM</w:t>
      </w:r>
      <w:r>
        <w:rPr>
          <w:i/>
        </w:rPr>
        <w:t>10</w:t>
      </w:r>
      <w:r>
        <w:t>), indoor household air pollution, sulfur dioxide (SO</w:t>
      </w:r>
      <w:r>
        <w:rPr>
          <w:i/>
          <w:sz w:val="18"/>
        </w:rPr>
        <w:t>2</w:t>
      </w:r>
      <w:r>
        <w:t>), nitrogen oxide (NO</w:t>
      </w:r>
      <w:r>
        <w:rPr>
          <w:i/>
        </w:rPr>
        <w:t>x</w:t>
      </w:r>
      <w:r>
        <w:t>), and ozone pollution (O</w:t>
      </w:r>
      <w:r>
        <w:rPr>
          <w:sz w:val="16"/>
        </w:rPr>
        <w:t>3</w:t>
      </w:r>
      <w:r>
        <w:t>),</w:t>
      </w:r>
      <w:r>
        <w:rPr>
          <w:spacing w:val="-2"/>
        </w:rPr>
        <w:t xml:space="preserve"> </w:t>
      </w:r>
      <w:r>
        <w:t>contribute</w:t>
      </w:r>
      <w:r>
        <w:rPr>
          <w:spacing w:val="-2"/>
        </w:rPr>
        <w:t xml:space="preserve"> </w:t>
      </w:r>
      <w:r>
        <w:t>to</w:t>
      </w:r>
      <w:r>
        <w:rPr>
          <w:spacing w:val="-2"/>
        </w:rPr>
        <w:t xml:space="preserve"> </w:t>
      </w:r>
      <w:r>
        <w:t>the</w:t>
      </w:r>
      <w:r>
        <w:rPr>
          <w:spacing w:val="-2"/>
        </w:rPr>
        <w:t xml:space="preserve"> </w:t>
      </w:r>
      <w:r>
        <w:t>crisis.</w:t>
      </w:r>
      <w:r>
        <w:rPr>
          <w:spacing w:val="-2"/>
        </w:rPr>
        <w:t xml:space="preserve"> The northern part of the country, which includes Delhi, is the worst affected with air quality levels on average many times over what is considered safe by national or international standards.</w:t>
      </w:r>
    </w:p>
    <w:p w14:paraId="21FAEF8F" w14:textId="78F4CE10" w:rsidR="00960FB1" w:rsidRPr="00960FB1" w:rsidRDefault="00960FB1" w:rsidP="00960FB1">
      <w:pPr>
        <w:pStyle w:val="BodyText"/>
        <w:spacing w:after="240" w:line="276" w:lineRule="auto"/>
        <w:ind w:left="380" w:right="621"/>
      </w:pPr>
      <w:r>
        <w:lastRenderedPageBreak/>
        <w:t>India operates as a common law nation, where legal principles are formulated through court decisions and parliamentary rulings. The country's judicial framework comprises the</w:t>
      </w:r>
      <w:r>
        <w:rPr>
          <w:spacing w:val="-3"/>
        </w:rPr>
        <w:t xml:space="preserve"> </w:t>
      </w:r>
      <w:r>
        <w:t>Supreme Court, High Courts, and Subordinate Courts. The Subordinate or District</w:t>
      </w:r>
      <w:r>
        <w:rPr>
          <w:spacing w:val="-3"/>
        </w:rPr>
        <w:t xml:space="preserve"> </w:t>
      </w:r>
      <w:r>
        <w:t>Courts,</w:t>
      </w:r>
      <w:r>
        <w:rPr>
          <w:spacing w:val="-3"/>
        </w:rPr>
        <w:t xml:space="preserve"> </w:t>
      </w:r>
      <w:r>
        <w:t>falling</w:t>
      </w:r>
      <w:r>
        <w:rPr>
          <w:spacing w:val="-3"/>
        </w:rPr>
        <w:t xml:space="preserve"> </w:t>
      </w:r>
      <w:r>
        <w:t>under state High Courts,</w:t>
      </w:r>
      <w:r>
        <w:rPr>
          <w:spacing w:val="-3"/>
        </w:rPr>
        <w:t xml:space="preserve"> </w:t>
      </w:r>
      <w:r>
        <w:t>encompass</w:t>
      </w:r>
      <w:r>
        <w:rPr>
          <w:spacing w:val="-3"/>
        </w:rPr>
        <w:t xml:space="preserve"> </w:t>
      </w:r>
      <w:r>
        <w:t>various</w:t>
      </w:r>
      <w:r>
        <w:rPr>
          <w:spacing w:val="-3"/>
        </w:rPr>
        <w:t xml:space="preserve"> </w:t>
      </w:r>
      <w:r>
        <w:t>tiers,</w:t>
      </w:r>
      <w:r>
        <w:rPr>
          <w:spacing w:val="-3"/>
        </w:rPr>
        <w:t xml:space="preserve"> </w:t>
      </w:r>
      <w:r>
        <w:t>including</w:t>
      </w:r>
      <w:r>
        <w:rPr>
          <w:spacing w:val="-3"/>
        </w:rPr>
        <w:t xml:space="preserve"> </w:t>
      </w:r>
      <w:r>
        <w:t>Civil</w:t>
      </w:r>
      <w:r>
        <w:rPr>
          <w:spacing w:val="-3"/>
        </w:rPr>
        <w:t xml:space="preserve"> </w:t>
      </w:r>
      <w:r>
        <w:t>Courts,</w:t>
      </w:r>
      <w:r>
        <w:rPr>
          <w:spacing w:val="-3"/>
        </w:rPr>
        <w:t xml:space="preserve"> </w:t>
      </w:r>
      <w:r>
        <w:t>Criminal</w:t>
      </w:r>
      <w:r>
        <w:rPr>
          <w:spacing w:val="-3"/>
        </w:rPr>
        <w:t xml:space="preserve"> </w:t>
      </w:r>
      <w:r>
        <w:t>or</w:t>
      </w:r>
      <w:r>
        <w:rPr>
          <w:spacing w:val="-3"/>
        </w:rPr>
        <w:t xml:space="preserve"> </w:t>
      </w:r>
      <w:r>
        <w:t>Session</w:t>
      </w:r>
      <w:r>
        <w:rPr>
          <w:spacing w:val="-3"/>
        </w:rPr>
        <w:t xml:space="preserve"> </w:t>
      </w:r>
      <w:r>
        <w:t>Courts, People’s</w:t>
      </w:r>
      <w:r>
        <w:rPr>
          <w:spacing w:val="40"/>
        </w:rPr>
        <w:t xml:space="preserve"> </w:t>
      </w:r>
      <w:r>
        <w:t>Courts,</w:t>
      </w:r>
      <w:r>
        <w:rPr>
          <w:spacing w:val="40"/>
        </w:rPr>
        <w:t xml:space="preserve"> </w:t>
      </w:r>
      <w:r>
        <w:t>and</w:t>
      </w:r>
      <w:r>
        <w:rPr>
          <w:spacing w:val="40"/>
        </w:rPr>
        <w:t xml:space="preserve"> </w:t>
      </w:r>
      <w:r>
        <w:t>Nyaya</w:t>
      </w:r>
      <w:r>
        <w:rPr>
          <w:spacing w:val="40"/>
        </w:rPr>
        <w:t xml:space="preserve"> </w:t>
      </w:r>
      <w:r>
        <w:t>Panchayats.</w:t>
      </w:r>
      <w:r>
        <w:rPr>
          <w:spacing w:val="40"/>
        </w:rPr>
        <w:t xml:space="preserve"> </w:t>
      </w:r>
    </w:p>
    <w:p w14:paraId="049AD3A8" w14:textId="1C777569" w:rsidR="00490FD7" w:rsidRDefault="00E46432" w:rsidP="00960FB1">
      <w:pPr>
        <w:pStyle w:val="BodyText"/>
        <w:spacing w:before="1" w:after="240" w:line="276" w:lineRule="auto"/>
        <w:ind w:left="380" w:right="618"/>
      </w:pPr>
      <w:r>
        <w:rPr>
          <w:color w:val="0D0D0D"/>
        </w:rPr>
        <w:t xml:space="preserve">Judges </w:t>
      </w:r>
      <w:r w:rsidR="00960FB1">
        <w:rPr>
          <w:color w:val="0D0D0D"/>
        </w:rPr>
        <w:t xml:space="preserve">in district courts </w:t>
      </w:r>
      <w:r>
        <w:rPr>
          <w:color w:val="0D0D0D"/>
        </w:rPr>
        <w:t>exposed to elevated levels of PM2.5 may experience increased cognitive fatigue, reduced attention, and impaired executive function, thereby impacting their productivity in legal proceedings. Limited research directly</w:t>
      </w:r>
      <w:r>
        <w:rPr>
          <w:color w:val="0D0D0D"/>
          <w:spacing w:val="-3"/>
        </w:rPr>
        <w:t xml:space="preserve"> </w:t>
      </w:r>
      <w:r>
        <w:rPr>
          <w:color w:val="0D0D0D"/>
        </w:rPr>
        <w:t>addresses</w:t>
      </w:r>
      <w:r>
        <w:rPr>
          <w:color w:val="0D0D0D"/>
          <w:spacing w:val="-3"/>
        </w:rPr>
        <w:t xml:space="preserve"> </w:t>
      </w:r>
      <w:r>
        <w:rPr>
          <w:color w:val="0D0D0D"/>
        </w:rPr>
        <w:t>the</w:t>
      </w:r>
      <w:r>
        <w:rPr>
          <w:color w:val="0D0D0D"/>
          <w:spacing w:val="-3"/>
        </w:rPr>
        <w:t xml:space="preserve"> </w:t>
      </w:r>
      <w:r>
        <w:rPr>
          <w:color w:val="0D0D0D"/>
        </w:rPr>
        <w:t>relationship</w:t>
      </w:r>
      <w:r>
        <w:rPr>
          <w:color w:val="0D0D0D"/>
          <w:spacing w:val="-3"/>
        </w:rPr>
        <w:t xml:space="preserve"> </w:t>
      </w:r>
      <w:r>
        <w:rPr>
          <w:color w:val="0D0D0D"/>
        </w:rPr>
        <w:t>between PM2.5 and NOx may interact synergistically to exacerbate neurotoxic effects on the central nervous system. Combined exposure to these pollutants can lead to increased neuroinflammation, oxidative stress, and neurodegeneration, impairing cognitive function and decision-making abilities in judges.</w:t>
      </w:r>
    </w:p>
    <w:p w14:paraId="70E94758" w14:textId="2D4A34F1" w:rsidR="00490FD7" w:rsidRDefault="00E46432" w:rsidP="00960FB1">
      <w:pPr>
        <w:pStyle w:val="BodyText"/>
        <w:spacing w:after="240" w:line="276" w:lineRule="auto"/>
        <w:ind w:left="380" w:right="621"/>
      </w:pPr>
      <w:r>
        <w:rPr>
          <w:color w:val="0D0D0D"/>
        </w:rPr>
        <w:t>Studies suggest that NOx exposure can lead to neuroinflammation, oxidative stress, and neurodegeneration, impairing cognitive function and decision-making abilities. These effects may be particularly pronounced in individuals</w:t>
      </w:r>
      <w:r>
        <w:rPr>
          <w:color w:val="0D0D0D"/>
          <w:spacing w:val="-2"/>
        </w:rPr>
        <w:t xml:space="preserve"> </w:t>
      </w:r>
      <w:r>
        <w:rPr>
          <w:color w:val="0D0D0D"/>
        </w:rPr>
        <w:t>with</w:t>
      </w:r>
      <w:r>
        <w:rPr>
          <w:color w:val="0D0D0D"/>
          <w:spacing w:val="-2"/>
        </w:rPr>
        <w:t xml:space="preserve"> </w:t>
      </w:r>
      <w:r>
        <w:rPr>
          <w:color w:val="0D0D0D"/>
        </w:rPr>
        <w:t>prolonged</w:t>
      </w:r>
      <w:r>
        <w:rPr>
          <w:color w:val="0D0D0D"/>
          <w:spacing w:val="-2"/>
        </w:rPr>
        <w:t xml:space="preserve"> </w:t>
      </w:r>
      <w:r>
        <w:rPr>
          <w:color w:val="0D0D0D"/>
        </w:rPr>
        <w:t>or</w:t>
      </w:r>
      <w:r>
        <w:rPr>
          <w:color w:val="0D0D0D"/>
          <w:spacing w:val="-2"/>
        </w:rPr>
        <w:t xml:space="preserve"> </w:t>
      </w:r>
      <w:r>
        <w:rPr>
          <w:color w:val="0D0D0D"/>
        </w:rPr>
        <w:t>high</w:t>
      </w:r>
      <w:r>
        <w:rPr>
          <w:color w:val="0D0D0D"/>
          <w:spacing w:val="-2"/>
        </w:rPr>
        <w:t xml:space="preserve"> </w:t>
      </w:r>
      <w:r>
        <w:rPr>
          <w:color w:val="0D0D0D"/>
        </w:rPr>
        <w:t>levels</w:t>
      </w:r>
      <w:r>
        <w:rPr>
          <w:color w:val="0D0D0D"/>
          <w:spacing w:val="-2"/>
        </w:rPr>
        <w:t xml:space="preserve"> </w:t>
      </w:r>
      <w:r>
        <w:rPr>
          <w:color w:val="0D0D0D"/>
        </w:rPr>
        <w:t>of</w:t>
      </w:r>
      <w:r>
        <w:rPr>
          <w:color w:val="0D0D0D"/>
          <w:spacing w:val="-2"/>
        </w:rPr>
        <w:t xml:space="preserve"> </w:t>
      </w:r>
      <w:r>
        <w:rPr>
          <w:color w:val="0D0D0D"/>
        </w:rPr>
        <w:t>NOx</w:t>
      </w:r>
      <w:r>
        <w:rPr>
          <w:color w:val="0D0D0D"/>
          <w:spacing w:val="-2"/>
        </w:rPr>
        <w:t xml:space="preserve"> </w:t>
      </w:r>
      <w:r>
        <w:rPr>
          <w:color w:val="0D0D0D"/>
        </w:rPr>
        <w:t>exposure, such as judges who spend significant time in urban areas with elevated pollution levels. According to Cognitive Load Theory, high levels of NOx in air pollution may increase cognitive load by taxing the brain's resources, leading to reduced attention, memory, and processing speed. For judges, whose work requires sustained focus, complex reasoning, and sound judgment, elevated cognitive load due to NOx exposure could hinder their ability to perform tasks effectively and efficiently.</w:t>
      </w:r>
    </w:p>
    <w:p w14:paraId="3636D636" w14:textId="1F8FD479" w:rsidR="00490FD7" w:rsidRDefault="00E46432" w:rsidP="00960FB1">
      <w:pPr>
        <w:pStyle w:val="BodyText"/>
        <w:spacing w:after="240" w:line="276" w:lineRule="auto"/>
        <w:ind w:left="380" w:right="622"/>
      </w:pPr>
      <w:r>
        <w:rPr>
          <w:color w:val="0D0D0D"/>
        </w:rPr>
        <w:t>Drawing from the reviewed literature, the conceptual framework posits that combined</w:t>
      </w:r>
      <w:r>
        <w:rPr>
          <w:color w:val="0D0D0D"/>
          <w:spacing w:val="40"/>
        </w:rPr>
        <w:t xml:space="preserve"> </w:t>
      </w:r>
      <w:r>
        <w:rPr>
          <w:color w:val="0D0D0D"/>
        </w:rPr>
        <w:t>exposure to PM2.5 and NOx in air pollution may synergistically affect judges' productivity through multiple pathways, including neurotoxicity, respiratory/cardiovascular effects, and psychological stress. Individual characteristics such as age,</w:t>
      </w:r>
      <w:r>
        <w:rPr>
          <w:color w:val="0D0D0D"/>
          <w:spacing w:val="-3"/>
        </w:rPr>
        <w:t xml:space="preserve"> </w:t>
      </w:r>
      <w:r>
        <w:rPr>
          <w:color w:val="0D0D0D"/>
        </w:rPr>
        <w:t>health</w:t>
      </w:r>
      <w:r>
        <w:rPr>
          <w:color w:val="0D0D0D"/>
          <w:spacing w:val="-3"/>
        </w:rPr>
        <w:t xml:space="preserve"> </w:t>
      </w:r>
      <w:r>
        <w:rPr>
          <w:color w:val="0D0D0D"/>
        </w:rPr>
        <w:t>status,</w:t>
      </w:r>
      <w:r>
        <w:rPr>
          <w:color w:val="0D0D0D"/>
          <w:spacing w:val="-3"/>
        </w:rPr>
        <w:t xml:space="preserve"> </w:t>
      </w:r>
      <w:r>
        <w:rPr>
          <w:color w:val="0D0D0D"/>
        </w:rPr>
        <w:t>and</w:t>
      </w:r>
      <w:r>
        <w:rPr>
          <w:color w:val="0D0D0D"/>
          <w:spacing w:val="-3"/>
        </w:rPr>
        <w:t xml:space="preserve"> </w:t>
      </w:r>
      <w:r>
        <w:rPr>
          <w:color w:val="0D0D0D"/>
        </w:rPr>
        <w:t>coping</w:t>
      </w:r>
      <w:r>
        <w:rPr>
          <w:color w:val="0D0D0D"/>
          <w:spacing w:val="-3"/>
        </w:rPr>
        <w:t xml:space="preserve"> </w:t>
      </w:r>
      <w:r>
        <w:rPr>
          <w:color w:val="0D0D0D"/>
        </w:rPr>
        <w:t>strategies may modulate the relationship between air pollution exposure and judges' productivity.</w:t>
      </w:r>
    </w:p>
    <w:p w14:paraId="4710E29D" w14:textId="77777777" w:rsidR="00490FD7" w:rsidRDefault="00E46432">
      <w:pPr>
        <w:pStyle w:val="BodyText"/>
        <w:spacing w:before="32"/>
        <w:rPr>
          <w:b/>
          <w:sz w:val="20"/>
        </w:rPr>
      </w:pPr>
      <w:r>
        <w:rPr>
          <w:noProof/>
        </w:rPr>
        <mc:AlternateContent>
          <mc:Choice Requires="wps">
            <w:drawing>
              <wp:anchor distT="0" distB="0" distL="0" distR="0" simplePos="0" relativeHeight="487594496" behindDoc="1" locked="0" layoutInCell="1" allowOverlap="1" wp14:anchorId="53CBA86F" wp14:editId="47097C85">
                <wp:simplePos x="0" y="0"/>
                <wp:positionH relativeFrom="page">
                  <wp:posOffset>1066800</wp:posOffset>
                </wp:positionH>
                <wp:positionV relativeFrom="paragraph">
                  <wp:posOffset>181693</wp:posOffset>
                </wp:positionV>
                <wp:extent cx="5753100"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3100" cy="1270"/>
                        </a:xfrm>
                        <a:custGeom>
                          <a:avLst/>
                          <a:gdLst/>
                          <a:ahLst/>
                          <a:cxnLst/>
                          <a:rect l="l" t="t" r="r" b="b"/>
                          <a:pathLst>
                            <a:path w="5753100">
                              <a:moveTo>
                                <a:pt x="0" y="0"/>
                              </a:moveTo>
                              <a:lnTo>
                                <a:pt x="57531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450D9B1A" id="Graphic 20" o:spid="_x0000_s1026" style="position:absolute;margin-left:84pt;margin-top:14.3pt;width:453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57531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" path="m,l5753100,e" filled="f" strokecolor="#878787" strokeweight="1pt">
                <v:path arrowok="t"/>
                <w10:wrap type="topAndBottom" anchorx="page"/>
              </v:shape>
            </w:pict>
          </mc:Fallback>
        </mc:AlternateContent>
      </w:r>
    </w:p>
    <w:p w14:paraId="44FE5032" w14:textId="77777777" w:rsidR="00490FD7" w:rsidRDefault="00490FD7">
      <w:pPr>
        <w:spacing w:line="276" w:lineRule="auto"/>
        <w:jc w:val="both"/>
        <w:rPr>
          <w:sz w:val="24"/>
        </w:rPr>
        <w:sectPr w:rsidR="00490FD7">
          <w:pgSz w:w="12240" w:h="15840"/>
          <w:pgMar w:top="1460" w:right="820" w:bottom="1020" w:left="1240" w:header="652" w:footer="820" w:gutter="0"/>
          <w:cols w:space="720"/>
        </w:sectPr>
      </w:pPr>
    </w:p>
    <w:p w14:paraId="13B0BADD" w14:textId="67244E62" w:rsidR="00490FD7" w:rsidRPr="00EE6D23" w:rsidRDefault="00960FB1">
      <w:pPr>
        <w:spacing w:before="62"/>
        <w:ind w:left="380"/>
        <w:rPr>
          <w:b/>
          <w:sz w:val="28"/>
          <w:szCs w:val="24"/>
        </w:rPr>
      </w:pPr>
      <w:r w:rsidRPr="00EE6D23">
        <w:rPr>
          <w:b/>
          <w:sz w:val="28"/>
          <w:szCs w:val="24"/>
        </w:rPr>
        <w:lastRenderedPageBreak/>
        <w:t>Section III</w:t>
      </w:r>
      <w:r w:rsidR="00E46432" w:rsidRPr="00EE6D23">
        <w:rPr>
          <w:b/>
          <w:sz w:val="28"/>
          <w:szCs w:val="24"/>
        </w:rPr>
        <w:t>:</w:t>
      </w:r>
      <w:r w:rsidR="00E46432" w:rsidRPr="00EE6D23">
        <w:rPr>
          <w:b/>
          <w:spacing w:val="-13"/>
          <w:sz w:val="28"/>
          <w:szCs w:val="24"/>
        </w:rPr>
        <w:t xml:space="preserve"> </w:t>
      </w:r>
      <w:r w:rsidR="00003568">
        <w:rPr>
          <w:b/>
          <w:sz w:val="28"/>
          <w:szCs w:val="24"/>
        </w:rPr>
        <w:t>Judiciary and Air Pollution Data</w:t>
      </w:r>
    </w:p>
    <w:p w14:paraId="7DFD7E6F" w14:textId="77777777" w:rsidR="00490FD7" w:rsidRDefault="00E46432">
      <w:pPr>
        <w:pStyle w:val="BodyText"/>
        <w:spacing w:before="1"/>
        <w:rPr>
          <w:b/>
          <w:sz w:val="18"/>
        </w:rPr>
      </w:pPr>
      <w:r>
        <w:rPr>
          <w:noProof/>
        </w:rPr>
        <mc:AlternateContent>
          <mc:Choice Requires="wps">
            <w:drawing>
              <wp:anchor distT="0" distB="0" distL="0" distR="0" simplePos="0" relativeHeight="251617792" behindDoc="1" locked="0" layoutInCell="1" allowOverlap="1" wp14:anchorId="51FADE1F" wp14:editId="20282301">
                <wp:simplePos x="0" y="0"/>
                <wp:positionH relativeFrom="page">
                  <wp:posOffset>1066800</wp:posOffset>
                </wp:positionH>
                <wp:positionV relativeFrom="paragraph">
                  <wp:posOffset>147410</wp:posOffset>
                </wp:positionV>
                <wp:extent cx="57531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3100" cy="1270"/>
                        </a:xfrm>
                        <a:custGeom>
                          <a:avLst/>
                          <a:gdLst/>
                          <a:ahLst/>
                          <a:cxnLst/>
                          <a:rect l="l" t="t" r="r" b="b"/>
                          <a:pathLst>
                            <a:path w="5753100">
                              <a:moveTo>
                                <a:pt x="0" y="0"/>
                              </a:moveTo>
                              <a:lnTo>
                                <a:pt x="57531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20121497" id="Graphic 21" o:spid="_x0000_s1026" style="position:absolute;margin-left:84pt;margin-top:11.6pt;width:453pt;height:.1pt;z-index:-251698688;visibility:visible;mso-wrap-style:square;mso-wrap-distance-left:0;mso-wrap-distance-top:0;mso-wrap-distance-right:0;mso-wrap-distance-bottom:0;mso-position-horizontal:absolute;mso-position-horizontal-relative:page;mso-position-vertical:absolute;mso-position-vertical-relative:text;v-text-anchor:top" coordsize="57531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" path="m,l5753100,e" filled="f" strokecolor="#878787" strokeweight="1pt">
                <v:path arrowok="t"/>
                <w10:wrap type="topAndBottom" anchorx="page"/>
              </v:shape>
            </w:pict>
          </mc:Fallback>
        </mc:AlternateContent>
      </w:r>
    </w:p>
    <w:p w14:paraId="00E8537A" w14:textId="4813D6D6" w:rsidR="00490FD7" w:rsidRDefault="00E46432" w:rsidP="00856C96">
      <w:pPr>
        <w:pStyle w:val="BodyText"/>
        <w:spacing w:before="80" w:line="276" w:lineRule="auto"/>
        <w:ind w:left="380" w:right="622"/>
      </w:pPr>
      <w:r>
        <w:rPr>
          <w:color w:val="0D0D0D"/>
        </w:rPr>
        <w:t>This section serves as a comprehensive guide to the datasets utilized, the variables under scrutiny, and the methodology adopted to analyze the</w:t>
      </w:r>
      <w:r>
        <w:rPr>
          <w:color w:val="0D0D0D"/>
          <w:spacing w:val="40"/>
        </w:rPr>
        <w:t xml:space="preserve"> </w:t>
      </w:r>
      <w:r>
        <w:rPr>
          <w:color w:val="0D0D0D"/>
        </w:rPr>
        <w:t xml:space="preserve">data. </w:t>
      </w:r>
    </w:p>
    <w:p w14:paraId="6BD71934" w14:textId="77777777" w:rsidR="00490FD7" w:rsidRDefault="00490FD7" w:rsidP="00856C96">
      <w:pPr>
        <w:pStyle w:val="BodyText"/>
      </w:pPr>
    </w:p>
    <w:p w14:paraId="35EECE56" w14:textId="77777777" w:rsidR="00490FD7" w:rsidRDefault="00E46432" w:rsidP="00856C96">
      <w:pPr>
        <w:pStyle w:val="Heading4"/>
        <w:tabs>
          <w:tab w:val="left" w:pos="866"/>
        </w:tabs>
        <w:spacing w:before="0"/>
      </w:pPr>
      <w:r>
        <w:rPr>
          <w:spacing w:val="-2"/>
        </w:rPr>
        <w:t>Datasets</w:t>
      </w:r>
    </w:p>
    <w:p w14:paraId="256E9495" w14:textId="784087C1" w:rsidR="00490FD7" w:rsidRDefault="00E46432" w:rsidP="00856C96">
      <w:pPr>
        <w:pStyle w:val="BodyText"/>
        <w:spacing w:before="248" w:line="276" w:lineRule="auto"/>
        <w:ind w:left="380" w:right="622"/>
      </w:pPr>
      <w:r>
        <w:t xml:space="preserve">Our main data source consists of two </w:t>
      </w:r>
      <w:r w:rsidR="00003568">
        <w:t>portals:</w:t>
      </w:r>
      <w:r>
        <w:t xml:space="preserve"> e-</w:t>
      </w:r>
      <w:r w:rsidR="00003568">
        <w:t>C</w:t>
      </w:r>
      <w:r>
        <w:t>ourts platform for judiciary related data and Central Pollution Control Board (CPCB) for pollution related data.</w:t>
      </w:r>
    </w:p>
    <w:p w14:paraId="1E46DBB7" w14:textId="77777777" w:rsidR="00490FD7" w:rsidRDefault="00490FD7" w:rsidP="00856C96">
      <w:pPr>
        <w:pStyle w:val="BodyText"/>
        <w:spacing w:before="42"/>
      </w:pPr>
    </w:p>
    <w:p w14:paraId="16B01A8F" w14:textId="6E33C67C" w:rsidR="00856C96" w:rsidRDefault="00E46432" w:rsidP="00856C96">
      <w:pPr>
        <w:pStyle w:val="BodyText"/>
        <w:spacing w:after="240" w:line="276" w:lineRule="auto"/>
        <w:ind w:left="380" w:right="619"/>
      </w:pPr>
      <w:r>
        <w:t>India’s</w:t>
      </w:r>
      <w:r>
        <w:rPr>
          <w:spacing w:val="-4"/>
        </w:rPr>
        <w:t xml:space="preserve"> </w:t>
      </w:r>
      <w:r>
        <w:t>CPCB</w:t>
      </w:r>
      <w:r>
        <w:rPr>
          <w:spacing w:val="-4"/>
        </w:rPr>
        <w:t xml:space="preserve"> </w:t>
      </w:r>
      <w:r>
        <w:t>provides continuous monitoring station-level data for a small subset of urban districts</w:t>
      </w:r>
      <w:r w:rsidR="002C495C">
        <w:t>; Delhi is included in this always</w:t>
      </w:r>
      <w:r>
        <w:t xml:space="preserve">. </w:t>
      </w:r>
      <w:r w:rsidR="00856C96">
        <w:t xml:space="preserve">These data are, however, available at high frequency levels, down to every 15 minutes. This lets us construct pollution exposure variables that can vary within a particular day, as we describe below. </w:t>
      </w:r>
    </w:p>
    <w:p w14:paraId="70C7BBEA" w14:textId="79C6FD3B" w:rsidR="00003568" w:rsidRDefault="00E46432" w:rsidP="00856C96">
      <w:pPr>
        <w:pStyle w:val="BodyText"/>
        <w:spacing w:after="240" w:line="276" w:lineRule="auto"/>
        <w:ind w:left="380" w:right="619"/>
      </w:pPr>
      <w:r>
        <w:t>As far as judiciary level data is concerned, the e-</w:t>
      </w:r>
      <w:r w:rsidR="00003568">
        <w:t>C</w:t>
      </w:r>
      <w:r>
        <w:t xml:space="preserve">ourts platform of the Indian judiciary (Development Data Lab, SHRUG documentation) provides data on across-India cases, both civil and criminal. The data set has approximately twenty million criminal records across more than seven thousand Subordinate Courts between 2010 and 2018. The raw data contains the filing, registration, hearing, and decision date of all criminal processes; the name of the petitioner and the respondent; the act and section that identifies the felony; the position of the judge; and the final ruling. </w:t>
      </w:r>
    </w:p>
    <w:p w14:paraId="4BF39F20" w14:textId="1063B6F3" w:rsidR="002C495C" w:rsidRDefault="002C495C" w:rsidP="002C495C">
      <w:pPr>
        <w:pStyle w:val="BodyText"/>
        <w:spacing w:after="240" w:line="276" w:lineRule="auto"/>
        <w:ind w:left="380" w:right="619"/>
      </w:pPr>
      <w:r w:rsidRPr="002C495C">
        <w:t>The e-Courts data ends in 2018, making it important to note that case durations decrease near the dataset's end since only quickly resolved cases are included. For example, a case that started in November 2018 and decided in 2019 won't appear in the dataset. Additionally, older pollution data is sparser due to fewer monitoring stations and pollutants recorded over time</w:t>
      </w:r>
      <w:r>
        <w:t xml:space="preserve"> for a functioning monitoring station</w:t>
      </w:r>
      <w:r w:rsidRPr="002C495C">
        <w:t>. These constraints work in opposite directions</w:t>
      </w:r>
      <w:r>
        <w:t>. We risk selection bias towards shorter cases if we use more recent case data</w:t>
      </w:r>
      <w:r w:rsidRPr="002C495C">
        <w:t>.</w:t>
      </w:r>
      <w:r>
        <w:t xml:space="preserve"> If we go back further in time, we risk losing information on air pollution.</w:t>
      </w:r>
      <w:r w:rsidR="00E46432">
        <w:t xml:space="preserve"> </w:t>
      </w:r>
    </w:p>
    <w:p w14:paraId="0ACD5507" w14:textId="715DB3F8" w:rsidR="00856C96" w:rsidRDefault="002C495C" w:rsidP="002C495C">
      <w:pPr>
        <w:pStyle w:val="BodyText"/>
        <w:spacing w:after="240" w:line="276" w:lineRule="auto"/>
        <w:ind w:left="380" w:right="619"/>
      </w:pPr>
      <w:r w:rsidRPr="002C495C">
        <w:t>To mitigate th</w:t>
      </w:r>
      <w:r>
        <w:t>ese concerns</w:t>
      </w:r>
      <w:r w:rsidRPr="002C495C">
        <w:t xml:space="preserve">, we focus on Delhi cases from July to December 2015. Air pollution levels vary greatly during these months, with lower levels in the monsoon season (July-August) and higher levels in winter (November-December). This ensures sufficient and representative pollution measures. Due to raw data limitations, we couldn't classify cases by type and disposition, treating missing classifications as unrelated measurement errors, following Sarmiento &amp; </w:t>
      </w:r>
      <w:proofErr w:type="spellStart"/>
      <w:r w:rsidRPr="002C495C">
        <w:t>Nowakoswaki</w:t>
      </w:r>
      <w:proofErr w:type="spellEnd"/>
      <w:r w:rsidRPr="002C495C">
        <w:t xml:space="preserve"> (2023).</w:t>
      </w:r>
    </w:p>
    <w:p w14:paraId="1EF9AB9C" w14:textId="77777777" w:rsidR="00511282" w:rsidRPr="00973B06" w:rsidRDefault="00511282" w:rsidP="00511282">
      <w:pPr>
        <w:pStyle w:val="BodyText"/>
        <w:spacing w:before="117" w:after="240" w:line="276" w:lineRule="auto"/>
        <w:ind w:left="380" w:right="629"/>
        <w:rPr>
          <w:bCs/>
          <w:iCs/>
        </w:rPr>
      </w:pPr>
      <w:r>
        <w:rPr>
          <w:bCs/>
          <w:iCs/>
        </w:rPr>
        <w:t xml:space="preserve">Each case moves through a specific sequence of events: the case is filed, then hearings are held, and finally a decision is made. In the e-Courts data, there is a maximum of three hearings per case. This implies a total of 5 dates recorded per case: three for each hearing, one for the date on which the case is filed and one for the date on which the case is decided. </w:t>
      </w:r>
    </w:p>
    <w:p w14:paraId="1678A93A" w14:textId="37F0303C" w:rsidR="00490FD7" w:rsidRDefault="00E46432" w:rsidP="00856C96">
      <w:pPr>
        <w:pStyle w:val="BodyText"/>
        <w:spacing w:after="240" w:line="276" w:lineRule="auto"/>
        <w:ind w:left="380" w:right="619"/>
      </w:pPr>
      <w:r>
        <w:lastRenderedPageBreak/>
        <w:t>We</w:t>
      </w:r>
      <w:r>
        <w:rPr>
          <w:spacing w:val="-4"/>
        </w:rPr>
        <w:t xml:space="preserve"> </w:t>
      </w:r>
      <w:r>
        <w:t>match</w:t>
      </w:r>
      <w:r>
        <w:rPr>
          <w:spacing w:val="-4"/>
        </w:rPr>
        <w:t xml:space="preserve"> </w:t>
      </w:r>
      <w:r>
        <w:t>the</w:t>
      </w:r>
      <w:r>
        <w:rPr>
          <w:spacing w:val="-4"/>
        </w:rPr>
        <w:t xml:space="preserve"> </w:t>
      </w:r>
      <w:r>
        <w:t>pollution</w:t>
      </w:r>
      <w:r>
        <w:rPr>
          <w:spacing w:val="-4"/>
        </w:rPr>
        <w:t xml:space="preserve"> </w:t>
      </w:r>
      <w:r>
        <w:t>data</w:t>
      </w:r>
      <w:r>
        <w:rPr>
          <w:spacing w:val="-4"/>
        </w:rPr>
        <w:t xml:space="preserve"> </w:t>
      </w:r>
      <w:r>
        <w:t>and</w:t>
      </w:r>
      <w:r>
        <w:rPr>
          <w:spacing w:val="-4"/>
        </w:rPr>
        <w:t xml:space="preserve"> </w:t>
      </w:r>
      <w:r>
        <w:t>the</w:t>
      </w:r>
      <w:r>
        <w:rPr>
          <w:spacing w:val="-4"/>
        </w:rPr>
        <w:t xml:space="preserve"> </w:t>
      </w:r>
      <w:r>
        <w:t>judiciary</w:t>
      </w:r>
      <w:r>
        <w:rPr>
          <w:spacing w:val="-4"/>
        </w:rPr>
        <w:t xml:space="preserve"> </w:t>
      </w:r>
      <w:r>
        <w:t>data</w:t>
      </w:r>
      <w:r>
        <w:rPr>
          <w:spacing w:val="-4"/>
        </w:rPr>
        <w:t xml:space="preserve"> </w:t>
      </w:r>
      <w:r>
        <w:t>using</w:t>
      </w:r>
      <w:r>
        <w:rPr>
          <w:spacing w:val="-4"/>
        </w:rPr>
        <w:t xml:space="preserve"> </w:t>
      </w:r>
      <w:r w:rsidR="00856C96">
        <w:rPr>
          <w:spacing w:val="-4"/>
        </w:rPr>
        <w:t xml:space="preserve">court location, </w:t>
      </w:r>
      <w:r>
        <w:t>the</w:t>
      </w:r>
      <w:r>
        <w:rPr>
          <w:spacing w:val="-4"/>
        </w:rPr>
        <w:t xml:space="preserve"> </w:t>
      </w:r>
      <w:r>
        <w:t>date</w:t>
      </w:r>
      <w:r>
        <w:rPr>
          <w:spacing w:val="-4"/>
        </w:rPr>
        <w:t xml:space="preserve"> </w:t>
      </w:r>
      <w:r>
        <w:t>of</w:t>
      </w:r>
      <w:r>
        <w:rPr>
          <w:spacing w:val="-4"/>
        </w:rPr>
        <w:t xml:space="preserve"> </w:t>
      </w:r>
      <w:r>
        <w:t>filing,</w:t>
      </w:r>
      <w:r>
        <w:rPr>
          <w:spacing w:val="-4"/>
        </w:rPr>
        <w:t xml:space="preserve"> </w:t>
      </w:r>
      <w:r>
        <w:t>hearing</w:t>
      </w:r>
      <w:r>
        <w:rPr>
          <w:spacing w:val="-4"/>
        </w:rPr>
        <w:t xml:space="preserve"> </w:t>
      </w:r>
      <w:r>
        <w:t>and</w:t>
      </w:r>
      <w:r>
        <w:rPr>
          <w:spacing w:val="-4"/>
        </w:rPr>
        <w:t xml:space="preserve"> </w:t>
      </w:r>
      <w:r>
        <w:t xml:space="preserve">decision dates of that court case. </w:t>
      </w:r>
      <w:r w:rsidR="00856C96">
        <w:t>Court location is used to identify the nearest CPCB monitoring station. T</w:t>
      </w:r>
      <w:r>
        <w:t xml:space="preserve">he pollution level for a particular case is calculated and matched using the calculation of the level of PM2.5 </w:t>
      </w:r>
      <w:r w:rsidR="00FE26D9">
        <w:t xml:space="preserve">for each of the five </w:t>
      </w:r>
      <w:proofErr w:type="gramStart"/>
      <w:r w:rsidR="00FE26D9">
        <w:t>dates, and</w:t>
      </w:r>
      <w:proofErr w:type="gramEnd"/>
      <w:r w:rsidR="00FE26D9">
        <w:t xml:space="preserve"> then averaged across the five dates.</w:t>
      </w:r>
    </w:p>
    <w:p w14:paraId="3E65A57B" w14:textId="7390548D" w:rsidR="00490FD7" w:rsidRDefault="00E46432" w:rsidP="00856C96">
      <w:pPr>
        <w:pStyle w:val="BodyText"/>
        <w:spacing w:before="248" w:line="276" w:lineRule="auto"/>
        <w:ind w:left="380" w:right="618"/>
      </w:pPr>
      <w:r w:rsidRPr="00856C96">
        <w:rPr>
          <w:bCs/>
          <w:i/>
        </w:rPr>
        <w:t>Our Main Dependent</w:t>
      </w:r>
      <w:r w:rsidRPr="00856C96">
        <w:rPr>
          <w:bCs/>
          <w:i/>
          <w:spacing w:val="-4"/>
        </w:rPr>
        <w:t xml:space="preserve"> </w:t>
      </w:r>
      <w:r w:rsidRPr="00856C96">
        <w:rPr>
          <w:bCs/>
          <w:i/>
        </w:rPr>
        <w:t>Variable</w:t>
      </w:r>
      <w:r>
        <w:rPr>
          <w:b/>
          <w:i/>
        </w:rPr>
        <w:t>:</w:t>
      </w:r>
      <w:r>
        <w:rPr>
          <w:b/>
          <w:i/>
          <w:spacing w:val="-4"/>
        </w:rPr>
        <w:t xml:space="preserve"> </w:t>
      </w:r>
      <w:r>
        <w:t>The</w:t>
      </w:r>
      <w:r>
        <w:rPr>
          <w:spacing w:val="-4"/>
        </w:rPr>
        <w:t xml:space="preserve"> </w:t>
      </w:r>
      <w:r>
        <w:t>main</w:t>
      </w:r>
      <w:r>
        <w:rPr>
          <w:spacing w:val="-4"/>
        </w:rPr>
        <w:t xml:space="preserve"> </w:t>
      </w:r>
      <w:r>
        <w:t>dependent</w:t>
      </w:r>
      <w:r>
        <w:rPr>
          <w:spacing w:val="-4"/>
        </w:rPr>
        <w:t xml:space="preserve"> </w:t>
      </w:r>
      <w:r>
        <w:t>variable</w:t>
      </w:r>
      <w:r>
        <w:rPr>
          <w:spacing w:val="-4"/>
        </w:rPr>
        <w:t xml:space="preserve"> </w:t>
      </w:r>
      <w:r>
        <w:t>in</w:t>
      </w:r>
      <w:r>
        <w:rPr>
          <w:spacing w:val="-4"/>
        </w:rPr>
        <w:t xml:space="preserve"> </w:t>
      </w:r>
      <w:r>
        <w:t>this</w:t>
      </w:r>
      <w:r>
        <w:rPr>
          <w:spacing w:val="-4"/>
        </w:rPr>
        <w:t xml:space="preserve"> </w:t>
      </w:r>
      <w:r>
        <w:t>model</w:t>
      </w:r>
      <w:r>
        <w:rPr>
          <w:spacing w:val="-4"/>
        </w:rPr>
        <w:t xml:space="preserve"> </w:t>
      </w:r>
      <w:r>
        <w:t>is</w:t>
      </w:r>
      <w:r>
        <w:rPr>
          <w:spacing w:val="-4"/>
        </w:rPr>
        <w:t xml:space="preserve"> </w:t>
      </w:r>
      <w:r w:rsidR="00856C96">
        <w:t xml:space="preserve">the length of the court case handled by judge </w:t>
      </w:r>
      <w:r w:rsidR="00856C96">
        <w:rPr>
          <w:i/>
        </w:rPr>
        <w:t>j</w:t>
      </w:r>
      <w:r w:rsidR="00856C96">
        <w:t xml:space="preserve">, which serves as a </w:t>
      </w:r>
      <w:r>
        <w:t>proxy</w:t>
      </w:r>
      <w:r>
        <w:rPr>
          <w:spacing w:val="-4"/>
        </w:rPr>
        <w:t xml:space="preserve"> </w:t>
      </w:r>
      <w:r>
        <w:t>for</w:t>
      </w:r>
      <w:r>
        <w:rPr>
          <w:spacing w:val="-4"/>
        </w:rPr>
        <w:t xml:space="preserve"> </w:t>
      </w:r>
      <w:r>
        <w:t xml:space="preserve">the judge's productivity. Judges are highly educated and well compensated. A longer deliberation period creates delays for the overall judicial system. Thus, the </w:t>
      </w:r>
      <w:r>
        <w:rPr>
          <w:i/>
        </w:rPr>
        <w:t xml:space="preserve">decision time </w:t>
      </w:r>
      <w:r>
        <w:t>is a useful metric of high-skilled worker productivity.</w:t>
      </w:r>
    </w:p>
    <w:p w14:paraId="5C8A40DD" w14:textId="77777777" w:rsidR="00490FD7" w:rsidRDefault="00490FD7">
      <w:pPr>
        <w:pStyle w:val="BodyText"/>
        <w:spacing w:before="42"/>
      </w:pPr>
    </w:p>
    <w:p w14:paraId="3B17D57D" w14:textId="67FE0CA8" w:rsidR="00382F8A" w:rsidRDefault="00E46432" w:rsidP="00382F8A">
      <w:pPr>
        <w:pStyle w:val="BodyText"/>
        <w:spacing w:line="276" w:lineRule="auto"/>
        <w:ind w:left="380" w:right="618"/>
      </w:pPr>
      <w:r w:rsidRPr="00856C96">
        <w:rPr>
          <w:bCs/>
          <w:i/>
        </w:rPr>
        <w:t>Our Main Independent Variable</w:t>
      </w:r>
      <w:r>
        <w:rPr>
          <w:b/>
          <w:i/>
        </w:rPr>
        <w:t xml:space="preserve">: </w:t>
      </w:r>
      <w:r>
        <w:t>The main independent variable is</w:t>
      </w:r>
      <w:r>
        <w:rPr>
          <w:spacing w:val="-4"/>
        </w:rPr>
        <w:t xml:space="preserve"> </w:t>
      </w:r>
      <w:r>
        <w:t>defined</w:t>
      </w:r>
      <w:r>
        <w:rPr>
          <w:spacing w:val="-4"/>
        </w:rPr>
        <w:t xml:space="preserve"> </w:t>
      </w:r>
      <w:r>
        <w:t>as</w:t>
      </w:r>
      <w:r>
        <w:rPr>
          <w:spacing w:val="-4"/>
        </w:rPr>
        <w:t xml:space="preserve"> </w:t>
      </w:r>
      <w:r>
        <w:t>the</w:t>
      </w:r>
      <w:r>
        <w:rPr>
          <w:spacing w:val="-4"/>
        </w:rPr>
        <w:t xml:space="preserve"> </w:t>
      </w:r>
      <w:r>
        <w:t>level</w:t>
      </w:r>
      <w:r>
        <w:rPr>
          <w:spacing w:val="-4"/>
        </w:rPr>
        <w:t xml:space="preserve"> </w:t>
      </w:r>
      <w:r>
        <w:t>of</w:t>
      </w:r>
      <w:r>
        <w:rPr>
          <w:spacing w:val="-4"/>
        </w:rPr>
        <w:t xml:space="preserve"> </w:t>
      </w:r>
      <w:r>
        <w:t xml:space="preserve">the pollutant (PM </w:t>
      </w:r>
      <w:r>
        <w:rPr>
          <w:i/>
        </w:rPr>
        <w:t>2.5</w:t>
      </w:r>
      <w:r>
        <w:t>) over a certain period</w:t>
      </w:r>
      <w:r w:rsidR="00382F8A">
        <w:t xml:space="preserve">, </w:t>
      </w:r>
      <w:r>
        <w:t>lagged</w:t>
      </w:r>
      <w:r w:rsidR="00856C96">
        <w:t xml:space="preserve"> as described below</w:t>
      </w:r>
      <w:r>
        <w:t xml:space="preserve">. </w:t>
      </w:r>
      <w:r>
        <w:rPr>
          <w:color w:val="0D0D0D"/>
        </w:rPr>
        <w:t xml:space="preserve">We </w:t>
      </w:r>
      <w:proofErr w:type="gramStart"/>
      <w:r w:rsidR="00B547DC">
        <w:rPr>
          <w:color w:val="0D0D0D"/>
        </w:rPr>
        <w:t>determine</w:t>
      </w:r>
      <w:proofErr w:type="gramEnd"/>
      <w:r w:rsidR="00B547DC">
        <w:rPr>
          <w:color w:val="0D0D0D"/>
        </w:rPr>
        <w:t xml:space="preserve"> </w:t>
      </w:r>
      <w:r>
        <w:rPr>
          <w:color w:val="0D0D0D"/>
        </w:rPr>
        <w:t>the average pollutant level</w:t>
      </w:r>
      <w:r>
        <w:rPr>
          <w:color w:val="0D0D0D"/>
          <w:spacing w:val="26"/>
        </w:rPr>
        <w:t xml:space="preserve"> </w:t>
      </w:r>
      <w:r>
        <w:rPr>
          <w:color w:val="0D0D0D"/>
        </w:rPr>
        <w:t xml:space="preserve">by computing the average </w:t>
      </w:r>
      <w:r w:rsidR="00382F8A">
        <w:rPr>
          <w:color w:val="0D0D0D"/>
        </w:rPr>
        <w:t xml:space="preserve">PM 2.5 level </w:t>
      </w:r>
      <w:r>
        <w:rPr>
          <w:color w:val="0D0D0D"/>
        </w:rPr>
        <w:t>measured</w:t>
      </w:r>
      <w:r w:rsidR="00382F8A">
        <w:rPr>
          <w:color w:val="0D0D0D"/>
        </w:rPr>
        <w:t xml:space="preserve"> </w:t>
      </w:r>
      <w:r w:rsidR="00B547DC">
        <w:rPr>
          <w:color w:val="0D0D0D"/>
        </w:rPr>
        <w:t>as follows</w:t>
      </w:r>
      <w:r w:rsidR="00382F8A">
        <w:t>:</w:t>
      </w:r>
    </w:p>
    <w:p w14:paraId="4AC22E5F" w14:textId="571D9249" w:rsidR="00490FD7" w:rsidRDefault="00E46432" w:rsidP="001D00CE">
      <w:pPr>
        <w:pStyle w:val="BodyText"/>
        <w:numPr>
          <w:ilvl w:val="0"/>
          <w:numId w:val="10"/>
        </w:numPr>
        <w:spacing w:line="276" w:lineRule="auto"/>
        <w:ind w:right="618"/>
      </w:pPr>
      <w:r>
        <w:rPr>
          <w:color w:val="0D0D0D"/>
        </w:rPr>
        <w:t xml:space="preserve">For </w:t>
      </w:r>
      <w:r w:rsidR="00B547DC">
        <w:rPr>
          <w:color w:val="0D0D0D"/>
        </w:rPr>
        <w:t xml:space="preserve">the previous </w:t>
      </w:r>
      <w:r>
        <w:rPr>
          <w:b/>
          <w:i/>
          <w:color w:val="0D0D0D"/>
        </w:rPr>
        <w:t>1-day</w:t>
      </w:r>
      <w:r>
        <w:rPr>
          <w:color w:val="0D0D0D"/>
        </w:rPr>
        <w:t>, it</w:t>
      </w:r>
      <w:r>
        <w:rPr>
          <w:color w:val="0D0D0D"/>
          <w:spacing w:val="-3"/>
        </w:rPr>
        <w:t xml:space="preserve"> </w:t>
      </w:r>
      <w:r>
        <w:rPr>
          <w:color w:val="0D0D0D"/>
        </w:rPr>
        <w:t>involves</w:t>
      </w:r>
      <w:r>
        <w:rPr>
          <w:color w:val="0D0D0D"/>
          <w:spacing w:val="-3"/>
        </w:rPr>
        <w:t xml:space="preserve"> </w:t>
      </w:r>
      <w:r>
        <w:rPr>
          <w:color w:val="0D0D0D"/>
        </w:rPr>
        <w:t>averaging</w:t>
      </w:r>
      <w:r>
        <w:rPr>
          <w:color w:val="0D0D0D"/>
          <w:spacing w:val="-3"/>
        </w:rPr>
        <w:t xml:space="preserve"> </w:t>
      </w:r>
      <w:r>
        <w:rPr>
          <w:color w:val="0D0D0D"/>
        </w:rPr>
        <w:t>the</w:t>
      </w:r>
      <w:r>
        <w:rPr>
          <w:color w:val="0D0D0D"/>
          <w:spacing w:val="-3"/>
        </w:rPr>
        <w:t xml:space="preserve"> </w:t>
      </w:r>
      <w:r>
        <w:rPr>
          <w:color w:val="0D0D0D"/>
        </w:rPr>
        <w:t>pollution</w:t>
      </w:r>
      <w:r>
        <w:rPr>
          <w:color w:val="0D0D0D"/>
          <w:spacing w:val="-3"/>
        </w:rPr>
        <w:t xml:space="preserve"> </w:t>
      </w:r>
      <w:r>
        <w:rPr>
          <w:color w:val="0D0D0D"/>
        </w:rPr>
        <w:t>levels</w:t>
      </w:r>
      <w:r>
        <w:rPr>
          <w:color w:val="0D0D0D"/>
          <w:spacing w:val="-3"/>
        </w:rPr>
        <w:t xml:space="preserve"> </w:t>
      </w:r>
      <w:r>
        <w:rPr>
          <w:color w:val="0D0D0D"/>
        </w:rPr>
        <w:t>for</w:t>
      </w:r>
      <w:r>
        <w:rPr>
          <w:color w:val="0D0D0D"/>
          <w:spacing w:val="-3"/>
        </w:rPr>
        <w:t xml:space="preserve"> </w:t>
      </w:r>
      <w:r w:rsidR="00B547DC">
        <w:rPr>
          <w:color w:val="0D0D0D"/>
        </w:rPr>
        <w:t xml:space="preserve">the </w:t>
      </w:r>
      <w:r>
        <w:rPr>
          <w:color w:val="0D0D0D"/>
        </w:rPr>
        <w:t xml:space="preserve">preceding </w:t>
      </w:r>
      <w:r w:rsidR="00B547DC">
        <w:rPr>
          <w:color w:val="0D0D0D"/>
        </w:rPr>
        <w:t>day and assigning this to the current day.</w:t>
      </w:r>
    </w:p>
    <w:p w14:paraId="57A4A142" w14:textId="2CFCBFDE" w:rsidR="00490FD7" w:rsidRPr="00B547DC" w:rsidRDefault="00E46432" w:rsidP="00393A88">
      <w:pPr>
        <w:pStyle w:val="ListParagraph"/>
        <w:numPr>
          <w:ilvl w:val="2"/>
          <w:numId w:val="7"/>
        </w:numPr>
        <w:tabs>
          <w:tab w:val="left" w:pos="1100"/>
        </w:tabs>
        <w:spacing w:before="15" w:after="240" w:line="276" w:lineRule="auto"/>
        <w:ind w:right="628"/>
      </w:pPr>
      <w:r w:rsidRPr="00393A88">
        <w:rPr>
          <w:color w:val="0D0D0D"/>
          <w:sz w:val="24"/>
        </w:rPr>
        <w:t>For</w:t>
      </w:r>
      <w:r w:rsidR="00B547DC">
        <w:rPr>
          <w:color w:val="0D0D0D"/>
          <w:sz w:val="24"/>
        </w:rPr>
        <w:t xml:space="preserve"> the previous</w:t>
      </w:r>
      <w:r w:rsidRPr="00393A88">
        <w:rPr>
          <w:color w:val="0D0D0D"/>
          <w:sz w:val="24"/>
        </w:rPr>
        <w:t xml:space="preserve"> </w:t>
      </w:r>
      <w:r w:rsidRPr="00393A88">
        <w:rPr>
          <w:b/>
          <w:i/>
          <w:color w:val="0D0D0D"/>
          <w:sz w:val="24"/>
        </w:rPr>
        <w:t>1-week</w:t>
      </w:r>
      <w:r w:rsidR="00B547DC">
        <w:rPr>
          <w:b/>
          <w:i/>
          <w:color w:val="0D0D0D"/>
          <w:sz w:val="24"/>
        </w:rPr>
        <w:t>,</w:t>
      </w:r>
      <w:r w:rsidRPr="00393A88">
        <w:rPr>
          <w:b/>
          <w:i/>
          <w:color w:val="0D0D0D"/>
          <w:sz w:val="24"/>
        </w:rPr>
        <w:t xml:space="preserve"> 2-week </w:t>
      </w:r>
      <w:r w:rsidR="00B547DC">
        <w:rPr>
          <w:b/>
          <w:i/>
          <w:color w:val="0D0D0D"/>
          <w:sz w:val="24"/>
        </w:rPr>
        <w:t>and 3-week</w:t>
      </w:r>
      <w:r w:rsidRPr="00393A88">
        <w:rPr>
          <w:color w:val="0D0D0D"/>
          <w:sz w:val="24"/>
        </w:rPr>
        <w:t xml:space="preserve">, </w:t>
      </w:r>
      <w:r w:rsidR="00B547DC">
        <w:rPr>
          <w:color w:val="0D0D0D"/>
          <w:sz w:val="24"/>
        </w:rPr>
        <w:t xml:space="preserve">we </w:t>
      </w:r>
      <w:r w:rsidRPr="00393A88">
        <w:rPr>
          <w:color w:val="0D0D0D"/>
          <w:sz w:val="24"/>
        </w:rPr>
        <w:t>averag</w:t>
      </w:r>
      <w:r w:rsidR="00B547DC">
        <w:rPr>
          <w:color w:val="0D0D0D"/>
          <w:sz w:val="24"/>
        </w:rPr>
        <w:t>e</w:t>
      </w:r>
      <w:r w:rsidRPr="00393A88">
        <w:rPr>
          <w:color w:val="0D0D0D"/>
          <w:sz w:val="24"/>
        </w:rPr>
        <w:t xml:space="preserve"> the pollution levels over a period of one week</w:t>
      </w:r>
      <w:r w:rsidR="00B547DC">
        <w:rPr>
          <w:color w:val="0D0D0D"/>
          <w:sz w:val="24"/>
        </w:rPr>
        <w:t xml:space="preserve">. </w:t>
      </w:r>
      <w:r w:rsidRPr="00393A88">
        <w:rPr>
          <w:color w:val="0D0D0D"/>
          <w:sz w:val="24"/>
        </w:rPr>
        <w:t xml:space="preserve">two weeks </w:t>
      </w:r>
      <w:r w:rsidR="00B547DC">
        <w:rPr>
          <w:color w:val="0D0D0D"/>
          <w:sz w:val="24"/>
        </w:rPr>
        <w:t xml:space="preserve">and three weeks </w:t>
      </w:r>
      <w:r w:rsidRPr="00393A88">
        <w:rPr>
          <w:color w:val="0D0D0D"/>
          <w:sz w:val="24"/>
        </w:rPr>
        <w:t>respectively leading up to the day in question. Specifically, it entails calculating the average pollution levels for each day within the timeframe and then averaging these values to derive the lags</w:t>
      </w:r>
      <w:r w:rsidR="00B547DC">
        <w:rPr>
          <w:color w:val="0D0D0D"/>
          <w:sz w:val="24"/>
        </w:rPr>
        <w:t>.</w:t>
      </w:r>
    </w:p>
    <w:p w14:paraId="3B4B9DD0" w14:textId="02AA3CB4" w:rsidR="00B547DC" w:rsidRPr="00B547DC" w:rsidRDefault="00B547DC" w:rsidP="00B547DC">
      <w:pPr>
        <w:tabs>
          <w:tab w:val="left" w:pos="1100"/>
        </w:tabs>
        <w:spacing w:before="15" w:after="240" w:line="276" w:lineRule="auto"/>
        <w:ind w:left="426" w:right="628"/>
        <w:rPr>
          <w:sz w:val="24"/>
          <w:szCs w:val="24"/>
        </w:rPr>
      </w:pPr>
      <w:r w:rsidRPr="00B547DC">
        <w:rPr>
          <w:sz w:val="24"/>
          <w:szCs w:val="24"/>
        </w:rPr>
        <w:t xml:space="preserve">These measures are calculated for each of the five dates specific to each case, and then a final average is calculated across the five dates. We end up with 4 measures of PM 2.5 exposure – the previous 1 day, 1 week, 2 weeks, and 3 weeks. </w:t>
      </w:r>
    </w:p>
    <w:p w14:paraId="26327AEF" w14:textId="3AF77C46" w:rsidR="00AA5CFD" w:rsidRDefault="00E46432" w:rsidP="00AA5CFD">
      <w:pPr>
        <w:pStyle w:val="BodyText"/>
        <w:spacing w:before="117" w:after="240" w:line="276" w:lineRule="auto"/>
        <w:ind w:left="380" w:right="629"/>
      </w:pPr>
      <w:r w:rsidRPr="00393A88">
        <w:rPr>
          <w:bCs/>
          <w:i/>
        </w:rPr>
        <w:t>Our Controls</w:t>
      </w:r>
      <w:r>
        <w:rPr>
          <w:b/>
          <w:i/>
        </w:rPr>
        <w:t xml:space="preserve">: </w:t>
      </w:r>
      <w:r w:rsidR="00973B06">
        <w:t>T</w:t>
      </w:r>
      <w:r w:rsidR="00AA5CFD">
        <w:t xml:space="preserve">o address the issue that case-level factors that have an influence over the timing of the case settlement, a vector of case-related covariates has been included. These covariates include the purpose of the </w:t>
      </w:r>
      <w:r w:rsidR="00511282">
        <w:t>case (in particular, what the hearing is for)</w:t>
      </w:r>
      <w:r w:rsidR="00AA5CFD">
        <w:t>, and the disposition of the case</w:t>
      </w:r>
      <w:r w:rsidR="00AA5CFD">
        <w:rPr>
          <w:i/>
        </w:rPr>
        <w:t>.</w:t>
      </w:r>
      <w:r w:rsidR="00AA5CFD">
        <w:t xml:space="preserve"> Judges may be independent and involve an element of personal discretion while deciding on a case, judge-level covariates have been included. We have information on the type of judge: what kinds of cases are heard by the judge, and the seniority level.</w:t>
      </w:r>
      <w:r w:rsidR="00AA5CFD">
        <w:rPr>
          <w:i/>
        </w:rPr>
        <w:t xml:space="preserve"> </w:t>
      </w:r>
      <w:r w:rsidR="00AA5CFD">
        <w:t>The influence of weather, specifically temperature and precipitation which can both influence decision making and air pollution, are also included, and are defined as the levels of these variables on the day the case is decided.</w:t>
      </w:r>
      <w:r w:rsidR="00AA5CFD">
        <w:rPr>
          <w:rStyle w:val="FootnoteReference"/>
        </w:rPr>
        <w:footnoteReference w:id="1"/>
      </w:r>
      <w:r w:rsidR="00AA5CFD">
        <w:t xml:space="preserve"> Finally, </w:t>
      </w:r>
      <w:proofErr w:type="gramStart"/>
      <w:r w:rsidR="00AA5CFD">
        <w:t>month</w:t>
      </w:r>
      <w:proofErr w:type="gramEnd"/>
      <w:r w:rsidR="00AA5CFD">
        <w:t xml:space="preserve"> fixed effects are included to account for the seasonality in air pollution: levels rise during the colder months due to thermal inversion. Day-of-week fixed effects account for any variation in decision making induced by any systematic weekly factors: it may be for instance a case is likely to be decided on a Friday than a Monday. Finally, we include a court specific fixed effect to account for cross-court variation in spatial location (and thus exposure to polluted air) and type of cases, since specific </w:t>
      </w:r>
      <w:r w:rsidR="00AA5CFD">
        <w:lastRenderedPageBreak/>
        <w:t xml:space="preserve">types of cases are assigned to different courts. </w:t>
      </w:r>
    </w:p>
    <w:p w14:paraId="53AC4325" w14:textId="5D5593E8" w:rsidR="00154055" w:rsidRDefault="00E46432" w:rsidP="00AA5CFD">
      <w:pPr>
        <w:pStyle w:val="BodyText"/>
        <w:spacing w:before="1" w:line="276" w:lineRule="auto"/>
        <w:ind w:left="380" w:right="621"/>
      </w:pPr>
      <w:r>
        <w:t xml:space="preserve">To </w:t>
      </w:r>
      <w:r w:rsidR="00ED6567">
        <w:t>test</w:t>
      </w:r>
      <w:r>
        <w:t xml:space="preserve"> the association between the outdoor air pollution levels and the length of time of a court case, </w:t>
      </w:r>
      <w:r w:rsidR="00393A88">
        <w:t>we use a panel fixed effects estimator.</w:t>
      </w:r>
      <w:r>
        <w:t xml:space="preserve"> </w:t>
      </w:r>
      <w:r w:rsidR="000D7C3D">
        <w:t>O</w:t>
      </w:r>
      <w:r w:rsidR="00154055">
        <w:t>ur</w:t>
      </w:r>
      <w:r w:rsidR="00154055">
        <w:rPr>
          <w:spacing w:val="-6"/>
        </w:rPr>
        <w:t xml:space="preserve"> </w:t>
      </w:r>
      <w:r w:rsidR="00154055">
        <w:t>main</w:t>
      </w:r>
      <w:r w:rsidR="00154055">
        <w:rPr>
          <w:spacing w:val="-5"/>
        </w:rPr>
        <w:t xml:space="preserve"> </w:t>
      </w:r>
      <w:r w:rsidR="00154055">
        <w:t>empirical</w:t>
      </w:r>
      <w:r w:rsidR="00154055">
        <w:rPr>
          <w:spacing w:val="-6"/>
        </w:rPr>
        <w:t xml:space="preserve"> </w:t>
      </w:r>
      <w:r w:rsidR="00154055">
        <w:t>specification is</w:t>
      </w:r>
      <w:r w:rsidR="00AA5CFD">
        <w:t>:</w:t>
      </w:r>
    </w:p>
    <w:p w14:paraId="56D510EC" w14:textId="1FA5C827" w:rsidR="000D7C3D" w:rsidRDefault="00000000" w:rsidP="00154055">
      <w:pPr>
        <w:pStyle w:val="BodyText"/>
        <w:spacing w:before="248"/>
        <w:ind w:left="380" w:right="623"/>
      </w:pPr>
      <m:oMathPara>
        <m:oMath>
          <m:sSub>
            <m:sSubPr>
              <m:ctrlPr>
                <w:rPr>
                  <w:rFonts w:ascii="Cambria Math" w:hAnsi="Cambria Math"/>
                  <w:i/>
                </w:rPr>
              </m:ctrlPr>
            </m:sSubPr>
            <m:e>
              <m:r>
                <w:rPr>
                  <w:rFonts w:ascii="Cambria Math" w:hAnsi="Cambria Math"/>
                </w:rPr>
                <m:t>Y</m:t>
              </m:r>
            </m:e>
            <m:sub>
              <m:r>
                <w:rPr>
                  <w:rFonts w:ascii="Cambria Math" w:hAnsi="Cambria Math"/>
                </w:rPr>
                <m:t>ijst</m:t>
              </m:r>
            </m:sub>
          </m:sSub>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β</m:t>
              </m:r>
            </m:e>
            <m:sub>
              <m:r>
                <w:rPr>
                  <w:rFonts w:ascii="Cambria Math" w:hAnsi="Cambria Math"/>
                </w:rPr>
                <m:t>1</m:t>
              </m:r>
            </m:sub>
          </m:sSub>
          <m:sSub>
            <m:sSubPr>
              <m:ctrlPr>
                <w:rPr>
                  <w:rFonts w:ascii="Cambria Math" w:hAnsi="Cambria Math"/>
                  <w:i/>
                </w:rPr>
              </m:ctrlPr>
            </m:sSubPr>
            <m:e>
              <m:r>
                <w:rPr>
                  <w:rFonts w:ascii="Cambria Math" w:hAnsi="Cambria Math"/>
                </w:rPr>
                <m:t>P</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W</m:t>
              </m:r>
            </m:e>
            <m:sub>
              <m:r>
                <w:rPr>
                  <w:rFonts w:ascii="Cambria Math" w:hAnsi="Cambria Math"/>
                </w:rPr>
                <m:t>dt</m:t>
              </m:r>
            </m:sub>
          </m:sSub>
          <m:r>
            <w:rPr>
              <w:rFonts w:ascii="Cambria Math" w:hAnsi="Cambria Math"/>
            </w:rPr>
            <m:t>+</m:t>
          </m:r>
          <m:sSub>
            <m:sSubPr>
              <m:ctrlPr>
                <w:rPr>
                  <w:rFonts w:ascii="Cambria Math" w:hAnsi="Cambria Math"/>
                  <w:i/>
                </w:rPr>
              </m:ctrlPr>
            </m:sSubPr>
            <m:e>
              <m:r>
                <m:rPr>
                  <m:sty m:val="p"/>
                </m:rPr>
                <w:rPr>
                  <w:rFonts w:ascii="Cambria Math" w:hAnsi="Cambria Math"/>
                </w:rPr>
                <m:t>Θ</m:t>
              </m:r>
            </m:e>
            <m:sub>
              <m:r>
                <w:rPr>
                  <w:rFonts w:ascii="Cambria Math" w:hAnsi="Cambria Math"/>
                </w:rPr>
                <m:t>s</m:t>
              </m:r>
            </m:sub>
          </m:sSub>
          <m:r>
            <w:rPr>
              <w:rFonts w:ascii="Cambria Math" w:hAnsi="Cambria Math"/>
            </w:rPr>
            <m:t>+</m:t>
          </m:r>
          <m:sSub>
            <m:sSubPr>
              <m:ctrlPr>
                <w:rPr>
                  <w:rFonts w:ascii="Cambria Math" w:hAnsi="Cambria Math"/>
                  <w:i/>
                </w:rPr>
              </m:ctrlPr>
            </m:sSubPr>
            <m:e>
              <m:r>
                <m:rPr>
                  <m:sty m:val="p"/>
                </m:rPr>
                <w:rPr>
                  <w:rFonts w:ascii="Cambria Math" w:hAnsi="Cambria Math"/>
                </w:rPr>
                <m:t>Δ</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λ</m:t>
              </m:r>
            </m:e>
            <m:sub>
              <m:r>
                <w:rPr>
                  <w:rFonts w:ascii="Cambria Math" w:hAnsi="Cambria Math"/>
                </w:rPr>
                <m:t>j</m:t>
              </m:r>
            </m:sub>
          </m:sSub>
          <m:r>
            <w:rPr>
              <w:rFonts w:ascii="Cambria Math" w:hAnsi="Cambria Math"/>
            </w:rPr>
            <m:t>+</m:t>
          </m:r>
          <m:sSub>
            <m:sSubPr>
              <m:ctrlPr>
                <w:rPr>
                  <w:rFonts w:ascii="Cambria Math" w:hAnsi="Cambria Math"/>
                  <w:i/>
                </w:rPr>
              </m:ctrlPr>
            </m:sSubPr>
            <m:e>
              <m:r>
                <m:rPr>
                  <m:sty m:val="p"/>
                </m:rPr>
                <w:rPr>
                  <w:rFonts w:ascii="Cambria Math" w:hAnsi="Cambria Math"/>
                </w:rPr>
                <m:t>Ω</m:t>
              </m:r>
              <m:ctrlPr>
                <w:rPr>
                  <w:rFonts w:ascii="Cambria Math" w:hAnsi="Cambria Math"/>
                </w:rPr>
              </m:ctrlP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ϵ</m:t>
              </m:r>
            </m:e>
            <m:sub>
              <m:r>
                <w:rPr>
                  <w:rFonts w:ascii="Cambria Math" w:hAnsi="Cambria Math"/>
                </w:rPr>
                <m:t>it</m:t>
              </m:r>
            </m:sub>
          </m:sSub>
        </m:oMath>
      </m:oMathPara>
    </w:p>
    <w:p w14:paraId="1358BF4A" w14:textId="77777777" w:rsidR="00A43E79" w:rsidRDefault="00154055" w:rsidP="000D7C3D">
      <w:pPr>
        <w:pStyle w:val="BodyText"/>
        <w:spacing w:before="117" w:after="240" w:line="276" w:lineRule="auto"/>
        <w:ind w:left="380" w:right="629"/>
      </w:pPr>
      <w:r>
        <w:t xml:space="preserve">where </w:t>
      </w:r>
      <w:proofErr w:type="spellStart"/>
      <w:r>
        <w:rPr>
          <w:i/>
        </w:rPr>
        <w:t>Y</w:t>
      </w:r>
      <w:r>
        <w:rPr>
          <w:i/>
          <w:vertAlign w:val="subscript"/>
        </w:rPr>
        <w:t>isjdt</w:t>
      </w:r>
      <w:proofErr w:type="spellEnd"/>
      <w:r>
        <w:rPr>
          <w:i/>
          <w:spacing w:val="40"/>
        </w:rPr>
        <w:t xml:space="preserve"> </w:t>
      </w:r>
      <w:r>
        <w:t xml:space="preserve">is the case duration (number of months between when a case was assigned to a judge and the date when the case was adjudicated by that judge) of case </w:t>
      </w:r>
      <w:r>
        <w:rPr>
          <w:i/>
        </w:rPr>
        <w:t>i</w:t>
      </w:r>
      <w:r>
        <w:t>, belonging</w:t>
      </w:r>
      <w:r>
        <w:rPr>
          <w:spacing w:val="-2"/>
        </w:rPr>
        <w:t xml:space="preserve"> </w:t>
      </w:r>
      <w:r>
        <w:t>to</w:t>
      </w:r>
      <w:r>
        <w:rPr>
          <w:spacing w:val="-2"/>
        </w:rPr>
        <w:t xml:space="preserve"> </w:t>
      </w:r>
      <w:r>
        <w:t xml:space="preserve">crime </w:t>
      </w:r>
      <w:proofErr w:type="spellStart"/>
      <w:r>
        <w:t xml:space="preserve">type </w:t>
      </w:r>
      <w:r>
        <w:rPr>
          <w:i/>
        </w:rPr>
        <w:t>s</w:t>
      </w:r>
      <w:proofErr w:type="spellEnd"/>
      <w:r>
        <w:t xml:space="preserve">, assigned to the judge </w:t>
      </w:r>
      <w:r>
        <w:rPr>
          <w:i/>
        </w:rPr>
        <w:t xml:space="preserve">j </w:t>
      </w:r>
      <w:r>
        <w:t>sitting in a court</w:t>
      </w:r>
      <w:r>
        <w:rPr>
          <w:spacing w:val="-2"/>
        </w:rPr>
        <w:t xml:space="preserve"> </w:t>
      </w:r>
      <w:r>
        <w:rPr>
          <w:i/>
        </w:rPr>
        <w:t>j,</w:t>
      </w:r>
      <w:r>
        <w:rPr>
          <w:i/>
          <w:spacing w:val="-2"/>
        </w:rPr>
        <w:t xml:space="preserve"> </w:t>
      </w:r>
      <w:r>
        <w:t>on</w:t>
      </w:r>
      <w:r>
        <w:rPr>
          <w:spacing w:val="-2"/>
        </w:rPr>
        <w:t xml:space="preserve"> </w:t>
      </w:r>
      <w:r>
        <w:t>the</w:t>
      </w:r>
      <w:r>
        <w:rPr>
          <w:spacing w:val="-2"/>
        </w:rPr>
        <w:t xml:space="preserve"> </w:t>
      </w:r>
      <w:r>
        <w:t>filing</w:t>
      </w:r>
      <w:r>
        <w:rPr>
          <w:spacing w:val="-2"/>
        </w:rPr>
        <w:t xml:space="preserve"> </w:t>
      </w:r>
      <w:r>
        <w:t>case</w:t>
      </w:r>
      <w:r>
        <w:rPr>
          <w:spacing w:val="-2"/>
        </w:rPr>
        <w:t xml:space="preserve"> </w:t>
      </w:r>
      <w:r>
        <w:rPr>
          <w:i/>
        </w:rPr>
        <w:t>t</w:t>
      </w:r>
      <w:r>
        <w:rPr>
          <w:i/>
          <w:spacing w:val="-2"/>
        </w:rPr>
        <w:t xml:space="preserve"> </w:t>
      </w:r>
      <w:r>
        <w:t>of</w:t>
      </w:r>
      <w:r>
        <w:rPr>
          <w:spacing w:val="-2"/>
        </w:rPr>
        <w:t xml:space="preserve"> </w:t>
      </w:r>
      <w:r>
        <w:t>the</w:t>
      </w:r>
      <w:r>
        <w:rPr>
          <w:spacing w:val="-2"/>
        </w:rPr>
        <w:t xml:space="preserve"> </w:t>
      </w:r>
      <w:r>
        <w:t>month</w:t>
      </w:r>
      <w:r>
        <w:rPr>
          <w:spacing w:val="-2"/>
        </w:rPr>
        <w:t xml:space="preserve"> </w:t>
      </w:r>
      <w:r>
        <w:rPr>
          <w:i/>
        </w:rPr>
        <w:t xml:space="preserve">m </w:t>
      </w:r>
      <w:r>
        <w:t xml:space="preserve">in the year </w:t>
      </w:r>
      <w:r>
        <w:rPr>
          <w:i/>
        </w:rPr>
        <w:t>y</w:t>
      </w:r>
      <w:r>
        <w:t>.</w:t>
      </w:r>
      <w:r w:rsidR="00600EA8">
        <w:t xml:space="preserve"> </w:t>
      </w:r>
      <w:r w:rsidR="00973B06">
        <w:t xml:space="preserve">Since judges do not move across courts, we identify both courts and judges by the same subscript. </w:t>
      </w:r>
      <m:oMath>
        <m:sSub>
          <m:sSubPr>
            <m:ctrlPr>
              <w:rPr>
                <w:rFonts w:ascii="Cambria Math" w:hAnsi="Cambria Math"/>
                <w:i/>
              </w:rPr>
            </m:ctrlPr>
          </m:sSubPr>
          <m:e>
            <m:r>
              <w:rPr>
                <w:rFonts w:ascii="Cambria Math" w:hAnsi="Cambria Math"/>
              </w:rPr>
              <m:t>P</m:t>
            </m:r>
          </m:e>
          <m:sub>
            <m:r>
              <w:rPr>
                <w:rFonts w:ascii="Cambria Math" w:hAnsi="Cambria Math"/>
              </w:rPr>
              <m:t>dt</m:t>
            </m:r>
          </m:sub>
        </m:sSub>
      </m:oMath>
      <w:r>
        <w:rPr>
          <w:i/>
          <w:spacing w:val="-12"/>
        </w:rPr>
        <w:t xml:space="preserve"> </w:t>
      </w:r>
      <w:r>
        <w:t xml:space="preserve">is the level of air pollution recorded by the nearest monitoring station to the court in district </w:t>
      </w:r>
      <m:oMath>
        <m:r>
          <w:rPr>
            <w:rFonts w:ascii="Cambria Math" w:hAnsi="Cambria Math"/>
          </w:rPr>
          <m:t>j</m:t>
        </m:r>
      </m:oMath>
      <w:r>
        <w:rPr>
          <w:i/>
        </w:rPr>
        <w:t xml:space="preserve"> </w:t>
      </w:r>
      <w:r>
        <w:t xml:space="preserve">where judge </w:t>
      </w:r>
      <w:r>
        <w:rPr>
          <w:i/>
        </w:rPr>
        <w:t xml:space="preserve">j </w:t>
      </w:r>
      <w:r>
        <w:t xml:space="preserve">worked on the case </w:t>
      </w:r>
      <w:r>
        <w:rPr>
          <w:i/>
        </w:rPr>
        <w:t xml:space="preserve">i </w:t>
      </w:r>
      <w:r>
        <w:t xml:space="preserve">during the trial defined in terms of the various </w:t>
      </w:r>
      <w:r w:rsidR="00B547DC">
        <w:t xml:space="preserve">cumulative </w:t>
      </w:r>
      <w:r>
        <w:t>lags described above.</w:t>
      </w:r>
      <w:r w:rsidR="00B547DC">
        <w:t xml:space="preserve"> </w:t>
      </w:r>
      <m:oMath>
        <m:sSub>
          <m:sSubPr>
            <m:ctrlPr>
              <w:rPr>
                <w:rFonts w:ascii="Cambria Math" w:hAnsi="Cambria Math"/>
                <w:i/>
              </w:rPr>
            </m:ctrlPr>
          </m:sSubPr>
          <m:e>
            <m:r>
              <w:rPr>
                <w:rFonts w:ascii="Cambria Math" w:hAnsi="Cambria Math"/>
              </w:rPr>
              <m:t>W</m:t>
            </m:r>
          </m:e>
          <m:sub>
            <m:r>
              <w:rPr>
                <w:rFonts w:ascii="Cambria Math" w:hAnsi="Cambria Math"/>
              </w:rPr>
              <m:t>dt</m:t>
            </m:r>
          </m:sub>
        </m:sSub>
      </m:oMath>
      <w:r w:rsidR="00B547DC">
        <w:t xml:space="preserve"> measures weather – temperature and rainfall.</w:t>
      </w:r>
      <w:r w:rsidR="000D7C3D">
        <w:t xml:space="preserve"> </w:t>
      </w:r>
      <m:oMath>
        <m:sSub>
          <m:sSubPr>
            <m:ctrlPr>
              <w:rPr>
                <w:rFonts w:ascii="Cambria Math" w:hAnsi="Cambria Math"/>
                <w:i/>
              </w:rPr>
            </m:ctrlPr>
          </m:sSubPr>
          <m:e>
            <m:r>
              <m:rPr>
                <m:sty m:val="p"/>
              </m:rPr>
              <w:rPr>
                <w:rFonts w:ascii="Cambria Math" w:hAnsi="Cambria Math"/>
              </w:rPr>
              <m:t>Θ</m:t>
            </m:r>
            <m:ctrlPr>
              <w:rPr>
                <w:rFonts w:ascii="Cambria Math" w:hAnsi="Cambria Math"/>
              </w:rPr>
            </m:ctrlPr>
          </m:e>
          <m:sub>
            <m:r>
              <w:rPr>
                <w:rFonts w:ascii="Cambria Math" w:hAnsi="Cambria Math"/>
              </w:rPr>
              <m:t>s</m:t>
            </m:r>
          </m:sub>
        </m:sSub>
      </m:oMath>
      <w:r w:rsidR="00AA5CFD">
        <w:t xml:space="preserve"> captures case specific covariates. </w:t>
      </w:r>
      <m:oMath>
        <m:sSub>
          <m:sSubPr>
            <m:ctrlPr>
              <w:rPr>
                <w:rFonts w:ascii="Cambria Math" w:hAnsi="Cambria Math"/>
                <w:i/>
              </w:rPr>
            </m:ctrlPr>
          </m:sSubPr>
          <m:e>
            <m:r>
              <m:rPr>
                <m:sty m:val="p"/>
              </m:rPr>
              <w:rPr>
                <w:rFonts w:ascii="Cambria Math" w:hAnsi="Cambria Math"/>
              </w:rPr>
              <m:t>Δ</m:t>
            </m:r>
            <m:ctrlPr>
              <w:rPr>
                <w:rFonts w:ascii="Cambria Math" w:hAnsi="Cambria Math"/>
              </w:rPr>
            </m:ctrlPr>
          </m:e>
          <m:sub>
            <m:r>
              <w:rPr>
                <w:rFonts w:ascii="Cambria Math" w:hAnsi="Cambria Math"/>
              </w:rPr>
              <m:t>j</m:t>
            </m:r>
          </m:sub>
        </m:sSub>
      </m:oMath>
      <w:r w:rsidR="00AA5CFD">
        <w:t xml:space="preserve"> captures judge specific covariates.</w:t>
      </w:r>
      <w:r w:rsidR="00A43E79">
        <w:t xml:space="preserve">  </w:t>
      </w:r>
      <m:oMath>
        <m:sSub>
          <m:sSubPr>
            <m:ctrlPr>
              <w:rPr>
                <w:rFonts w:ascii="Cambria Math" w:hAnsi="Cambria Math"/>
                <w:i/>
              </w:rPr>
            </m:ctrlPr>
          </m:sSubPr>
          <m:e>
            <m:r>
              <w:rPr>
                <w:rFonts w:ascii="Cambria Math" w:hAnsi="Cambria Math"/>
              </w:rPr>
              <m:t>λ</m:t>
            </m:r>
          </m:e>
          <m:sub>
            <m:r>
              <w:rPr>
                <w:rFonts w:ascii="Cambria Math" w:hAnsi="Cambria Math"/>
              </w:rPr>
              <m:t>j</m:t>
            </m:r>
          </m:sub>
        </m:sSub>
      </m:oMath>
      <w:r w:rsidR="00A43E79">
        <w:t xml:space="preserve"> is a court specific fixed effect.</w:t>
      </w:r>
    </w:p>
    <w:p w14:paraId="2A8B49DF" w14:textId="7FBDEC4E" w:rsidR="00ED364F" w:rsidRDefault="00A43E79" w:rsidP="000D7C3D">
      <w:pPr>
        <w:pStyle w:val="BodyText"/>
        <w:spacing w:before="117" w:after="240" w:line="276" w:lineRule="auto"/>
        <w:ind w:left="380" w:right="629"/>
      </w:pPr>
      <w:r>
        <w:t xml:space="preserve">Finally, </w:t>
      </w:r>
      <m:oMath>
        <m:sSub>
          <m:sSubPr>
            <m:ctrlPr>
              <w:rPr>
                <w:rFonts w:ascii="Cambria Math" w:hAnsi="Cambria Math"/>
                <w:i/>
              </w:rPr>
            </m:ctrlPr>
          </m:sSubPr>
          <m:e>
            <m:r>
              <m:rPr>
                <m:sty m:val="p"/>
              </m:rPr>
              <w:rPr>
                <w:rFonts w:ascii="Cambria Math" w:hAnsi="Cambria Math"/>
              </w:rPr>
              <m:t>Ω</m:t>
            </m:r>
            <m:ctrlPr>
              <w:rPr>
                <w:rFonts w:ascii="Cambria Math" w:hAnsi="Cambria Math"/>
              </w:rPr>
            </m:ctrlPr>
          </m:e>
          <m:sub>
            <m:r>
              <w:rPr>
                <w:rFonts w:ascii="Cambria Math" w:hAnsi="Cambria Math"/>
              </w:rPr>
              <m:t>t</m:t>
            </m:r>
          </m:sub>
        </m:sSub>
      </m:oMath>
      <w:r>
        <w:t xml:space="preserve"> is a temporal control vector, meant to account for seasonality differences within a specific case. This includes the following two variables and their interaction. First, we include dummies for the month a case is filed. This accounts for seasonal differences in pollution levels across the six months in our sample. Second, we calculate the difference between the month the case is filed and the month the decision is made. This accounts for seasonal differences within a case between the time a case is filed, and a decision is made. Since we know the average time to decide a case is approximately two months, these within case seasonal differences are an important control to include. Finally, the interaction between the two is meant to account for within </w:t>
      </w:r>
      <w:proofErr w:type="gramStart"/>
      <w:r>
        <w:t>case</w:t>
      </w:r>
      <w:proofErr w:type="gramEnd"/>
      <w:r>
        <w:t xml:space="preserve"> seasonal differences that may themselves change across the six months. </w:t>
      </w:r>
      <w:r w:rsidR="00C969AB">
        <w:t>For instance, a</w:t>
      </w:r>
      <w:r>
        <w:t xml:space="preserve"> case filed in July and decided in September is going to witness </w:t>
      </w:r>
      <w:r w:rsidR="00C969AB">
        <w:t>a smaller change in pollution levels across the duration of the case than a similar case filed in July but decided in November.</w:t>
      </w:r>
    </w:p>
    <w:p w14:paraId="567EE45D" w14:textId="77777777" w:rsidR="00845797" w:rsidRDefault="00ED364F" w:rsidP="00ED364F">
      <w:pPr>
        <w:pStyle w:val="BodyText"/>
        <w:spacing w:before="1" w:after="240" w:line="276" w:lineRule="auto"/>
        <w:ind w:left="380" w:right="618"/>
        <w:rPr>
          <w:spacing w:val="40"/>
        </w:rPr>
      </w:pPr>
      <w:r>
        <w:t xml:space="preserve">We believe our measurement of air pollution is unlikely to be confounded by endogeneity concerns and can therefore be interpreted as a causal impact. Judges spend most of their time indoors, and the measurement of air pollution is designed to be as close to the court as possible by selecting the closest monitoring station. </w:t>
      </w:r>
      <w:r w:rsidR="00154055">
        <w:t>Further, within the same court, each defendant’s case is randomly assigned to a judge who presides over the trial. The judge is also unaware of the</w:t>
      </w:r>
      <w:r w:rsidR="00154055">
        <w:rPr>
          <w:spacing w:val="-2"/>
        </w:rPr>
        <w:t xml:space="preserve"> </w:t>
      </w:r>
      <w:r w:rsidR="00154055">
        <w:t>details</w:t>
      </w:r>
      <w:r w:rsidR="00154055">
        <w:rPr>
          <w:spacing w:val="-2"/>
        </w:rPr>
        <w:t xml:space="preserve"> </w:t>
      </w:r>
      <w:r w:rsidR="00154055">
        <w:t>of</w:t>
      </w:r>
      <w:r w:rsidR="00154055">
        <w:rPr>
          <w:spacing w:val="-2"/>
        </w:rPr>
        <w:t xml:space="preserve"> </w:t>
      </w:r>
      <w:r w:rsidR="00154055">
        <w:t>the</w:t>
      </w:r>
      <w:r w:rsidR="00154055">
        <w:rPr>
          <w:spacing w:val="-2"/>
        </w:rPr>
        <w:t xml:space="preserve"> </w:t>
      </w:r>
      <w:r w:rsidR="00154055">
        <w:t>upcoming</w:t>
      </w:r>
      <w:r w:rsidR="00154055">
        <w:rPr>
          <w:spacing w:val="-2"/>
        </w:rPr>
        <w:t xml:space="preserve"> </w:t>
      </w:r>
      <w:r w:rsidR="00154055">
        <w:t>cases</w:t>
      </w:r>
      <w:r w:rsidR="00154055">
        <w:rPr>
          <w:spacing w:val="-2"/>
        </w:rPr>
        <w:t xml:space="preserve"> </w:t>
      </w:r>
      <w:r w:rsidR="00154055">
        <w:t>(Ash</w:t>
      </w:r>
      <w:r w:rsidR="00154055">
        <w:rPr>
          <w:spacing w:val="-2"/>
        </w:rPr>
        <w:t xml:space="preserve"> </w:t>
      </w:r>
      <w:r w:rsidR="00154055">
        <w:t>et. al, 2022). The case duration can be several days between the filing of the claim to case resolution.</w:t>
      </w:r>
      <w:r w:rsidR="00154055">
        <w:rPr>
          <w:spacing w:val="40"/>
        </w:rPr>
        <w:t xml:space="preserve"> </w:t>
      </w:r>
    </w:p>
    <w:p w14:paraId="6FDF23E7" w14:textId="20103579" w:rsidR="00154055" w:rsidRDefault="00341EB5" w:rsidP="00093B80">
      <w:pPr>
        <w:pStyle w:val="BodyText"/>
        <w:spacing w:after="240" w:line="276" w:lineRule="auto"/>
        <w:ind w:left="380" w:right="619"/>
      </w:pPr>
      <w:r>
        <w:t xml:space="preserve">A possible confounder is the use of </w:t>
      </w:r>
      <w:r w:rsidR="00845797">
        <w:t>mitigation strategies such as</w:t>
      </w:r>
      <w:r>
        <w:t xml:space="preserve"> purifiers by</w:t>
      </w:r>
      <w:r w:rsidR="00845797">
        <w:t xml:space="preserve"> courts or</w:t>
      </w:r>
      <w:r>
        <w:t xml:space="preserve"> judges. </w:t>
      </w:r>
      <w:r w:rsidR="00845797">
        <w:t>However, this is unlikely to be a serious confounder. There are no air filtration devices installed in any of the courts, at least until 2018</w:t>
      </w:r>
      <w:r w:rsidR="00845797">
        <w:rPr>
          <w:spacing w:val="-2"/>
        </w:rPr>
        <w:t xml:space="preserve">. </w:t>
      </w:r>
      <w:r w:rsidR="003A6AB6">
        <w:t xml:space="preserve">Data on air purifier ownership and usage is sparse, but </w:t>
      </w:r>
      <w:r w:rsidR="002377A7">
        <w:t>Greenstone, Lee and Sahai (2021)</w:t>
      </w:r>
      <w:r w:rsidR="003A6AB6">
        <w:t xml:space="preserve"> report that only </w:t>
      </w:r>
      <w:r w:rsidR="002377A7">
        <w:t>24</w:t>
      </w:r>
      <w:r w:rsidR="003A6AB6">
        <w:t>% of respondents who are</w:t>
      </w:r>
      <w:r w:rsidR="00973B06">
        <w:t xml:space="preserve"> classified as</w:t>
      </w:r>
      <w:r w:rsidR="003A6AB6">
        <w:t xml:space="preserve"> high income (which is what a judge would be) own an air purifier</w:t>
      </w:r>
      <w:r w:rsidR="002377A7">
        <w:t xml:space="preserve">, leave alone </w:t>
      </w:r>
      <w:r w:rsidR="002377A7">
        <w:lastRenderedPageBreak/>
        <w:t xml:space="preserve">whether they use it at all or use it appropriately; by contrast, nearly 90% of the same household’s own air-conditioners. This suggests that avoidance behavior even of a sophisticated kind is unlikely to be practically important for our study. </w:t>
      </w:r>
    </w:p>
    <w:p w14:paraId="0515374F" w14:textId="450905A6" w:rsidR="00AE133A" w:rsidRDefault="00AE133A" w:rsidP="00ED364F">
      <w:pPr>
        <w:pStyle w:val="BodyText"/>
        <w:spacing w:before="1" w:after="240" w:line="276" w:lineRule="auto"/>
        <w:ind w:left="380" w:right="618"/>
      </w:pPr>
      <w:r>
        <w:t xml:space="preserve">Standard errors are heteroskedasticity robust. While it would be preferable to cluster them by court, there are only 10 courts. These are too few clusters to allow for consistent estimation of the standard errors. We are working on incorporating more granular judge specific information to allow clustering by judge; </w:t>
      </w:r>
      <w:r w:rsidR="00EC6F47">
        <w:t>this will also help us include a judge fixed effect.</w:t>
      </w:r>
    </w:p>
    <w:p w14:paraId="3839851E" w14:textId="77777777" w:rsidR="00490FD7" w:rsidRDefault="00E46432" w:rsidP="00FB63DD">
      <w:pPr>
        <w:pStyle w:val="BodyText"/>
        <w:spacing w:before="248" w:line="276" w:lineRule="auto"/>
        <w:ind w:left="380" w:right="581"/>
        <w:jc w:val="both"/>
      </w:pPr>
      <w:r>
        <w:t>The following map of the NCT Delhi shows the districts and the courthouses we have in the dataset.</w:t>
      </w:r>
      <w:r>
        <w:rPr>
          <w:spacing w:val="-4"/>
        </w:rPr>
        <w:t xml:space="preserve"> </w:t>
      </w:r>
      <w:r>
        <w:t>There</w:t>
      </w:r>
      <w:r>
        <w:rPr>
          <w:spacing w:val="-4"/>
        </w:rPr>
        <w:t xml:space="preserve"> </w:t>
      </w:r>
      <w:r>
        <w:t>are</w:t>
      </w:r>
      <w:r>
        <w:rPr>
          <w:spacing w:val="-4"/>
        </w:rPr>
        <w:t xml:space="preserve"> </w:t>
      </w:r>
      <w:r>
        <w:t>a</w:t>
      </w:r>
      <w:r>
        <w:rPr>
          <w:spacing w:val="-4"/>
        </w:rPr>
        <w:t xml:space="preserve"> </w:t>
      </w:r>
      <w:r>
        <w:t>total</w:t>
      </w:r>
      <w:r>
        <w:rPr>
          <w:spacing w:val="-4"/>
        </w:rPr>
        <w:t xml:space="preserve"> </w:t>
      </w:r>
      <w:r>
        <w:t>of</w:t>
      </w:r>
      <w:r>
        <w:rPr>
          <w:spacing w:val="-4"/>
        </w:rPr>
        <w:t xml:space="preserve"> </w:t>
      </w:r>
      <w:r>
        <w:t>7</w:t>
      </w:r>
      <w:r>
        <w:rPr>
          <w:spacing w:val="-4"/>
        </w:rPr>
        <w:t xml:space="preserve"> </w:t>
      </w:r>
      <w:r>
        <w:t>courthouses</w:t>
      </w:r>
      <w:r>
        <w:rPr>
          <w:spacing w:val="-4"/>
        </w:rPr>
        <w:t xml:space="preserve"> </w:t>
      </w:r>
      <w:r>
        <w:t>which</w:t>
      </w:r>
      <w:r>
        <w:rPr>
          <w:spacing w:val="-4"/>
        </w:rPr>
        <w:t xml:space="preserve"> </w:t>
      </w:r>
      <w:r>
        <w:t>are</w:t>
      </w:r>
      <w:r>
        <w:rPr>
          <w:spacing w:val="-4"/>
        </w:rPr>
        <w:t xml:space="preserve"> </w:t>
      </w:r>
      <w:r>
        <w:t>located</w:t>
      </w:r>
      <w:r>
        <w:rPr>
          <w:spacing w:val="-4"/>
        </w:rPr>
        <w:t xml:space="preserve"> </w:t>
      </w:r>
      <w:r>
        <w:t>as</w:t>
      </w:r>
      <w:r>
        <w:rPr>
          <w:spacing w:val="-4"/>
        </w:rPr>
        <w:t xml:space="preserve"> </w:t>
      </w:r>
      <w:proofErr w:type="gramStart"/>
      <w:r>
        <w:t>follows;</w:t>
      </w:r>
      <w:proofErr w:type="gramEnd"/>
      <w:r>
        <w:rPr>
          <w:spacing w:val="-4"/>
        </w:rPr>
        <w:t xml:space="preserve"> </w:t>
      </w:r>
      <w:r>
        <w:t>two</w:t>
      </w:r>
      <w:r>
        <w:rPr>
          <w:spacing w:val="-4"/>
        </w:rPr>
        <w:t xml:space="preserve"> </w:t>
      </w:r>
      <w:r>
        <w:t>in</w:t>
      </w:r>
      <w:r>
        <w:rPr>
          <w:spacing w:val="-4"/>
        </w:rPr>
        <w:t xml:space="preserve"> </w:t>
      </w:r>
      <w:r>
        <w:t>Wazirpur</w:t>
      </w:r>
      <w:r>
        <w:rPr>
          <w:spacing w:val="-4"/>
        </w:rPr>
        <w:t xml:space="preserve"> </w:t>
      </w:r>
      <w:r>
        <w:t xml:space="preserve">(North and North-West), one in ITO district (Central), two in </w:t>
      </w:r>
      <w:proofErr w:type="spellStart"/>
      <w:r>
        <w:t>Sirifort</w:t>
      </w:r>
      <w:proofErr w:type="spellEnd"/>
      <w:r>
        <w:t xml:space="preserve"> district (South and South-East), one in Major Dhyan Chand district (New Delhi district) and another in Dwarka (South-West).</w:t>
      </w:r>
    </w:p>
    <w:p w14:paraId="11B4A219" w14:textId="77777777" w:rsidR="00490FD7" w:rsidRDefault="00490FD7">
      <w:pPr>
        <w:pStyle w:val="BodyText"/>
        <w:spacing w:before="42"/>
      </w:pPr>
    </w:p>
    <w:p w14:paraId="051B1198" w14:textId="77777777" w:rsidR="00490FD7" w:rsidRDefault="00E46432">
      <w:pPr>
        <w:pStyle w:val="BodyText"/>
        <w:spacing w:before="1"/>
        <w:rPr>
          <w:sz w:val="4"/>
        </w:rPr>
      </w:pPr>
      <w:r>
        <w:rPr>
          <w:noProof/>
        </w:rPr>
        <w:drawing>
          <wp:anchor distT="0" distB="0" distL="0" distR="0" simplePos="0" relativeHeight="251619840" behindDoc="1" locked="0" layoutInCell="1" allowOverlap="1" wp14:anchorId="61FD146E" wp14:editId="4505BB5E">
            <wp:simplePos x="0" y="0"/>
            <wp:positionH relativeFrom="page">
              <wp:posOffset>2057400</wp:posOffset>
            </wp:positionH>
            <wp:positionV relativeFrom="paragraph">
              <wp:posOffset>45462</wp:posOffset>
            </wp:positionV>
            <wp:extent cx="3778966" cy="4074795"/>
            <wp:effectExtent l="0" t="0" r="0" b="0"/>
            <wp:wrapTopAndBottom/>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12" cstate="print"/>
                    <a:stretch>
                      <a:fillRect/>
                    </a:stretch>
                  </pic:blipFill>
                  <pic:spPr>
                    <a:xfrm>
                      <a:off x="0" y="0"/>
                      <a:ext cx="3778966" cy="4074795"/>
                    </a:xfrm>
                    <a:prstGeom prst="rect">
                      <a:avLst/>
                    </a:prstGeom>
                  </pic:spPr>
                </pic:pic>
              </a:graphicData>
            </a:graphic>
          </wp:anchor>
        </w:drawing>
      </w:r>
    </w:p>
    <w:p w14:paraId="7A7EAA9D" w14:textId="77777777" w:rsidR="00490FD7" w:rsidRDefault="00E46432">
      <w:pPr>
        <w:spacing w:before="50"/>
        <w:ind w:left="405" w:right="642"/>
        <w:jc w:val="center"/>
        <w:rPr>
          <w:sz w:val="16"/>
        </w:rPr>
      </w:pPr>
      <w:r>
        <w:rPr>
          <w:sz w:val="16"/>
        </w:rPr>
        <w:t>Source:</w:t>
      </w:r>
      <w:r>
        <w:rPr>
          <w:spacing w:val="-7"/>
          <w:sz w:val="16"/>
        </w:rPr>
        <w:t xml:space="preserve"> </w:t>
      </w:r>
      <w:r>
        <w:rPr>
          <w:sz w:val="16"/>
        </w:rPr>
        <w:t>Development</w:t>
      </w:r>
      <w:r>
        <w:rPr>
          <w:spacing w:val="-6"/>
          <w:sz w:val="16"/>
        </w:rPr>
        <w:t xml:space="preserve"> </w:t>
      </w:r>
      <w:r>
        <w:rPr>
          <w:sz w:val="16"/>
        </w:rPr>
        <w:t>Data</w:t>
      </w:r>
      <w:r>
        <w:rPr>
          <w:spacing w:val="-7"/>
          <w:sz w:val="16"/>
        </w:rPr>
        <w:t xml:space="preserve"> </w:t>
      </w:r>
      <w:r>
        <w:rPr>
          <w:sz w:val="16"/>
        </w:rPr>
        <w:t>Lab,</w:t>
      </w:r>
      <w:r>
        <w:rPr>
          <w:spacing w:val="-6"/>
          <w:sz w:val="16"/>
        </w:rPr>
        <w:t xml:space="preserve"> </w:t>
      </w:r>
      <w:r>
        <w:rPr>
          <w:spacing w:val="-4"/>
          <w:sz w:val="16"/>
        </w:rPr>
        <w:t>CPCB</w:t>
      </w:r>
    </w:p>
    <w:p w14:paraId="6864444A" w14:textId="77777777" w:rsidR="00490FD7" w:rsidRDefault="00490FD7">
      <w:pPr>
        <w:pStyle w:val="BodyText"/>
        <w:rPr>
          <w:sz w:val="16"/>
        </w:rPr>
      </w:pPr>
    </w:p>
    <w:p w14:paraId="5703E0BF" w14:textId="77777777" w:rsidR="00973B06" w:rsidRDefault="00973B06" w:rsidP="00973B06">
      <w:pPr>
        <w:pStyle w:val="BodyText"/>
        <w:ind w:left="180" w:right="419"/>
        <w:jc w:val="center"/>
      </w:pPr>
      <w:r>
        <w:t xml:space="preserve">Figure 3: Courthouses and districts in Delhi NCT </w:t>
      </w:r>
      <w:r>
        <w:rPr>
          <w:spacing w:val="-5"/>
        </w:rPr>
        <w:t>Map</w:t>
      </w:r>
    </w:p>
    <w:p w14:paraId="73784A59" w14:textId="77777777" w:rsidR="00490FD7" w:rsidRDefault="00490FD7" w:rsidP="00FB63DD">
      <w:pPr>
        <w:spacing w:line="276" w:lineRule="auto"/>
      </w:pPr>
    </w:p>
    <w:p w14:paraId="066BC0E8" w14:textId="77777777" w:rsidR="00973B06" w:rsidRDefault="00973B06" w:rsidP="00FB63DD">
      <w:pPr>
        <w:spacing w:line="276" w:lineRule="auto"/>
      </w:pPr>
    </w:p>
    <w:p w14:paraId="37E148CA" w14:textId="29541961" w:rsidR="006D1AB7" w:rsidRPr="006F4AC6" w:rsidRDefault="00FE26D9" w:rsidP="00F35F5D">
      <w:pPr>
        <w:pStyle w:val="BodyText"/>
        <w:spacing w:before="248" w:line="276" w:lineRule="auto"/>
        <w:ind w:left="380" w:right="581"/>
      </w:pPr>
      <w:r w:rsidRPr="006F4AC6">
        <w:t xml:space="preserve">The summary statistics for the main variables are described below. Case durations last from 1 to 174 days, the maximum possible in our </w:t>
      </w:r>
      <w:r w:rsidR="00C958FD" w:rsidRPr="006F4AC6">
        <w:t>sample</w:t>
      </w:r>
      <w:r w:rsidRPr="006F4AC6">
        <w:t xml:space="preserve"> period</w:t>
      </w:r>
      <w:r w:rsidR="006D1AB7" w:rsidRPr="006F4AC6">
        <w:t>, with the average case taking approximately 2 months from filing to decision</w:t>
      </w:r>
      <w:r w:rsidRPr="006F4AC6">
        <w:t xml:space="preserve">. </w:t>
      </w:r>
      <w:r w:rsidR="00C958FD" w:rsidRPr="006F4AC6">
        <w:t xml:space="preserve">PM 2.5 concentrations are well above WHO </w:t>
      </w:r>
      <w:r w:rsidR="00C958FD" w:rsidRPr="006F4AC6">
        <w:lastRenderedPageBreak/>
        <w:t>recommended average levels – 15 micrograms/meter-cube</w:t>
      </w:r>
      <w:r w:rsidR="00EE7629">
        <w:t xml:space="preserve"> (</w:t>
      </w:r>
      <m:oMath>
        <m:r>
          <w:rPr>
            <w:rFonts w:ascii="Cambria Math" w:hAnsi="Cambria Math"/>
          </w:rPr>
          <m:t>μ</m:t>
        </m:r>
        <m:r>
          <m:rPr>
            <m:sty m:val="p"/>
          </m:rPr>
          <w:rPr>
            <w:rFonts w:ascii="Cambria Math" w:hAnsi="Cambria Math"/>
          </w:rPr>
          <m:t>/</m:t>
        </m:r>
        <m:sSup>
          <m:sSupPr>
            <m:ctrlPr>
              <w:rPr>
                <w:rFonts w:ascii="Cambria Math" w:hAnsi="Cambria Math"/>
              </w:rPr>
            </m:ctrlPr>
          </m:sSupPr>
          <m:e>
            <m:r>
              <w:rPr>
                <w:rFonts w:ascii="Cambria Math" w:hAnsi="Cambria Math"/>
              </w:rPr>
              <m:t>m</m:t>
            </m:r>
          </m:e>
          <m:sup>
            <m:r>
              <m:rPr>
                <m:sty m:val="p"/>
              </m:rPr>
              <w:rPr>
                <w:rFonts w:ascii="Cambria Math" w:hAnsi="Cambria Math"/>
              </w:rPr>
              <m:t>3</m:t>
            </m:r>
          </m:sup>
        </m:sSup>
      </m:oMath>
      <w:r w:rsidR="00EE7629">
        <w:t>)</w:t>
      </w:r>
      <w:r w:rsidR="00C958FD" w:rsidRPr="006F4AC6">
        <w:t xml:space="preserve"> for a </w:t>
      </w:r>
      <w:proofErr w:type="gramStart"/>
      <w:r w:rsidR="00C958FD" w:rsidRPr="006F4AC6">
        <w:t>24 hour</w:t>
      </w:r>
      <w:proofErr w:type="gramEnd"/>
      <w:r w:rsidR="00C958FD" w:rsidRPr="006F4AC6">
        <w:t xml:space="preserve"> period, and 5 </w:t>
      </w:r>
      <m:oMath>
        <m:r>
          <w:rPr>
            <w:rFonts w:ascii="Cambria Math" w:hAnsi="Cambria Math"/>
          </w:rPr>
          <m:t>μ</m:t>
        </m:r>
        <m:r>
          <m:rPr>
            <m:sty m:val="p"/>
          </m:rPr>
          <w:rPr>
            <w:rFonts w:ascii="Cambria Math" w:hAnsi="Cambria Math"/>
          </w:rPr>
          <m:t>/</m:t>
        </m:r>
        <m:sSup>
          <m:sSupPr>
            <m:ctrlPr>
              <w:rPr>
                <w:rFonts w:ascii="Cambria Math" w:hAnsi="Cambria Math"/>
              </w:rPr>
            </m:ctrlPr>
          </m:sSupPr>
          <m:e>
            <m:r>
              <w:rPr>
                <w:rFonts w:ascii="Cambria Math" w:hAnsi="Cambria Math"/>
              </w:rPr>
              <m:t>m</m:t>
            </m:r>
          </m:e>
          <m:sup>
            <m:r>
              <m:rPr>
                <m:sty m:val="p"/>
              </m:rPr>
              <w:rPr>
                <w:rFonts w:ascii="Cambria Math" w:hAnsi="Cambria Math"/>
              </w:rPr>
              <m:t>3</m:t>
            </m:r>
          </m:sup>
        </m:sSup>
      </m:oMath>
      <w:r w:rsidR="00EE7629">
        <w:t xml:space="preserve"> </w:t>
      </w:r>
      <w:r w:rsidR="00C958FD" w:rsidRPr="006F4AC6">
        <w:t xml:space="preserve">for an annual period. Most cases are either withdrawn or disposed of entirely, i.e., a judgement is reached. Note that we have five different judge positions, which indicate types of cases and seniority levels of the judge assigned to a case. Table 2 describes these </w:t>
      </w:r>
      <w:r w:rsidR="006D1AB7" w:rsidRPr="006F4AC6">
        <w:t xml:space="preserve"> judge positions, in terms of both factors.</w:t>
      </w:r>
    </w:p>
    <w:p w14:paraId="0D6B3B82" w14:textId="65EA9053" w:rsidR="006D1AB7" w:rsidRPr="006F4AC6" w:rsidRDefault="006D1AB7" w:rsidP="00F35F5D">
      <w:pPr>
        <w:pStyle w:val="BodyText"/>
        <w:spacing w:before="248" w:line="276" w:lineRule="auto"/>
        <w:ind w:left="380" w:right="581"/>
        <w:sectPr w:rsidR="006D1AB7" w:rsidRPr="006F4AC6" w:rsidSect="006D1AB7">
          <w:pgSz w:w="12240" w:h="15840"/>
          <w:pgMar w:top="1460" w:right="820" w:bottom="1020" w:left="1240" w:header="652" w:footer="820" w:gutter="0"/>
          <w:cols w:space="720"/>
          <w:docGrid w:linePitch="299"/>
        </w:sectPr>
      </w:pPr>
      <w:r w:rsidRPr="006F4AC6">
        <w:t>Since different judges can work out of the same court, and we use court fixed effects, in effect we are comparing across judges – defined by the “type” as laid out in Table 2 -  within a specific court. As the assignment of cases to judges is randomly determined, our identifying variation therefore</w:t>
      </w:r>
      <w:r w:rsidR="006F4AC6">
        <w:t xml:space="preserve"> comes from  a within-court comparison to changes in air pollution levels over the length of a case. </w:t>
      </w:r>
      <w:r w:rsidR="00B547DC">
        <w:t xml:space="preserve"> Case and judge level covariates control for any potential confounding along these </w:t>
      </w:r>
      <w:r w:rsidR="00EC6F47">
        <w:t>dimensions,</w:t>
      </w:r>
      <w:r w:rsidR="00B547DC">
        <w:t xml:space="preserve"> while weather controls allow us to make comparisons holding temperature and rainfall constant. </w:t>
      </w:r>
    </w:p>
    <w:tbl>
      <w:tblPr>
        <w:tblW w:w="11429" w:type="dxa"/>
        <w:jc w:val="center"/>
        <w:tblLayout w:type="fixed"/>
        <w:tblLook w:val="04A0" w:firstRow="1" w:lastRow="0" w:firstColumn="1" w:lastColumn="0" w:noHBand="0" w:noVBand="1"/>
      </w:tblPr>
      <w:tblGrid>
        <w:gridCol w:w="2506"/>
        <w:gridCol w:w="497"/>
        <w:gridCol w:w="110"/>
        <w:gridCol w:w="1417"/>
        <w:gridCol w:w="831"/>
        <w:gridCol w:w="84"/>
        <w:gridCol w:w="998"/>
        <w:gridCol w:w="720"/>
        <w:gridCol w:w="831"/>
        <w:gridCol w:w="270"/>
        <w:gridCol w:w="877"/>
        <w:gridCol w:w="1048"/>
        <w:gridCol w:w="1240"/>
      </w:tblGrid>
      <w:tr w:rsidR="00FE26D9" w:rsidRPr="00FE26D9" w14:paraId="08D3189C" w14:textId="77777777" w:rsidTr="00CB42B7">
        <w:trPr>
          <w:trHeight w:val="290"/>
          <w:jc w:val="center"/>
        </w:trPr>
        <w:tc>
          <w:tcPr>
            <w:tcW w:w="11429" w:type="dxa"/>
            <w:gridSpan w:val="13"/>
            <w:tcBorders>
              <w:top w:val="nil"/>
              <w:left w:val="nil"/>
              <w:bottom w:val="single" w:sz="4" w:space="0" w:color="auto"/>
              <w:right w:val="nil"/>
            </w:tcBorders>
            <w:shd w:val="clear" w:color="auto" w:fill="auto"/>
            <w:noWrap/>
            <w:vAlign w:val="bottom"/>
          </w:tcPr>
          <w:p w14:paraId="08178196" w14:textId="2ACEF4F6" w:rsidR="00FE26D9" w:rsidRPr="006D1AB7" w:rsidRDefault="00FE26D9" w:rsidP="00FE5C65">
            <w:pPr>
              <w:pStyle w:val="Heading3"/>
              <w:ind w:left="0"/>
              <w:jc w:val="center"/>
              <w:rPr>
                <w:rFonts w:ascii="Aptos Narrow" w:hAnsi="Aptos Narrow"/>
                <w:color w:val="000000"/>
                <w:u w:val="single"/>
                <w:lang w:val="en-IN" w:eastAsia="en-IN"/>
              </w:rPr>
            </w:pPr>
            <w:r w:rsidRPr="006D1AB7">
              <w:lastRenderedPageBreak/>
              <w:t>Table 1: e-Courts and Central Pollution Control Board Monitors Summary Statistics</w:t>
            </w:r>
          </w:p>
        </w:tc>
      </w:tr>
      <w:tr w:rsidR="00FE26D9" w:rsidRPr="00FE26D9" w14:paraId="22030B2B" w14:textId="77777777" w:rsidTr="006D1AB7">
        <w:trPr>
          <w:trHeight w:val="290"/>
          <w:jc w:val="center"/>
        </w:trPr>
        <w:tc>
          <w:tcPr>
            <w:tcW w:w="3113" w:type="dxa"/>
            <w:gridSpan w:val="3"/>
            <w:tcBorders>
              <w:top w:val="single" w:sz="4" w:space="0" w:color="auto"/>
              <w:left w:val="nil"/>
              <w:right w:val="nil"/>
            </w:tcBorders>
            <w:shd w:val="clear" w:color="auto" w:fill="auto"/>
            <w:noWrap/>
            <w:vAlign w:val="bottom"/>
            <w:hideMark/>
          </w:tcPr>
          <w:p w14:paraId="794198EB" w14:textId="77777777" w:rsidR="00FE26D9" w:rsidRPr="00CB42B7" w:rsidRDefault="00FE26D9" w:rsidP="006D1AB7">
            <w:pPr>
              <w:pStyle w:val="NoSpacing"/>
              <w:rPr>
                <w:lang w:val="en-IN" w:eastAsia="en-IN"/>
              </w:rPr>
            </w:pPr>
          </w:p>
        </w:tc>
        <w:tc>
          <w:tcPr>
            <w:tcW w:w="1417" w:type="dxa"/>
            <w:tcBorders>
              <w:top w:val="single" w:sz="4" w:space="0" w:color="auto"/>
              <w:left w:val="nil"/>
              <w:bottom w:val="single" w:sz="4" w:space="0" w:color="auto"/>
              <w:right w:val="nil"/>
            </w:tcBorders>
            <w:shd w:val="clear" w:color="auto" w:fill="auto"/>
            <w:noWrap/>
            <w:vAlign w:val="bottom"/>
            <w:hideMark/>
          </w:tcPr>
          <w:p w14:paraId="649462D5" w14:textId="77777777" w:rsidR="00FE26D9" w:rsidRPr="00CB42B7" w:rsidRDefault="00FE26D9" w:rsidP="006D1AB7">
            <w:pPr>
              <w:pStyle w:val="NoSpacing"/>
              <w:rPr>
                <w:color w:val="000000"/>
                <w:lang w:val="en-IN" w:eastAsia="en-IN"/>
              </w:rPr>
            </w:pPr>
            <w:r w:rsidRPr="00CB42B7">
              <w:rPr>
                <w:color w:val="000000"/>
                <w:lang w:val="en-IN" w:eastAsia="en-IN"/>
              </w:rPr>
              <w:t>Observations</w:t>
            </w:r>
          </w:p>
        </w:tc>
        <w:tc>
          <w:tcPr>
            <w:tcW w:w="831" w:type="dxa"/>
            <w:tcBorders>
              <w:top w:val="single" w:sz="4" w:space="0" w:color="auto"/>
              <w:left w:val="nil"/>
              <w:bottom w:val="single" w:sz="4" w:space="0" w:color="auto"/>
              <w:right w:val="nil"/>
            </w:tcBorders>
            <w:shd w:val="clear" w:color="auto" w:fill="auto"/>
            <w:noWrap/>
            <w:vAlign w:val="bottom"/>
            <w:hideMark/>
          </w:tcPr>
          <w:p w14:paraId="2BA08223" w14:textId="77777777" w:rsidR="00FE26D9" w:rsidRPr="00CB42B7" w:rsidRDefault="00FE26D9" w:rsidP="006D1AB7">
            <w:pPr>
              <w:pStyle w:val="NoSpacing"/>
              <w:rPr>
                <w:color w:val="000000"/>
                <w:lang w:val="en-IN" w:eastAsia="en-IN"/>
              </w:rPr>
            </w:pPr>
            <w:r w:rsidRPr="00CB42B7">
              <w:rPr>
                <w:color w:val="000000"/>
                <w:lang w:val="en-IN" w:eastAsia="en-IN"/>
              </w:rPr>
              <w:t>Mean</w:t>
            </w:r>
          </w:p>
        </w:tc>
        <w:tc>
          <w:tcPr>
            <w:tcW w:w="1082" w:type="dxa"/>
            <w:gridSpan w:val="2"/>
            <w:tcBorders>
              <w:top w:val="single" w:sz="4" w:space="0" w:color="auto"/>
              <w:left w:val="nil"/>
              <w:bottom w:val="single" w:sz="4" w:space="0" w:color="auto"/>
              <w:right w:val="nil"/>
            </w:tcBorders>
            <w:shd w:val="clear" w:color="auto" w:fill="auto"/>
            <w:noWrap/>
            <w:vAlign w:val="bottom"/>
            <w:hideMark/>
          </w:tcPr>
          <w:p w14:paraId="47AD3CC0" w14:textId="77777777" w:rsidR="00FE26D9" w:rsidRPr="00CB42B7" w:rsidRDefault="00FE26D9" w:rsidP="006D1AB7">
            <w:pPr>
              <w:pStyle w:val="NoSpacing"/>
              <w:rPr>
                <w:color w:val="000000"/>
                <w:lang w:val="en-IN" w:eastAsia="en-IN"/>
              </w:rPr>
            </w:pPr>
            <w:r w:rsidRPr="00CB42B7">
              <w:rPr>
                <w:color w:val="000000"/>
                <w:lang w:val="en-IN" w:eastAsia="en-IN"/>
              </w:rPr>
              <w:t>Std Dev</w:t>
            </w:r>
          </w:p>
        </w:tc>
        <w:tc>
          <w:tcPr>
            <w:tcW w:w="720" w:type="dxa"/>
            <w:tcBorders>
              <w:top w:val="single" w:sz="4" w:space="0" w:color="auto"/>
              <w:left w:val="nil"/>
              <w:bottom w:val="single" w:sz="4" w:space="0" w:color="auto"/>
              <w:right w:val="nil"/>
            </w:tcBorders>
            <w:shd w:val="clear" w:color="auto" w:fill="auto"/>
            <w:noWrap/>
            <w:vAlign w:val="bottom"/>
            <w:hideMark/>
          </w:tcPr>
          <w:p w14:paraId="5C0068E4" w14:textId="77777777" w:rsidR="00FE26D9" w:rsidRPr="00CB42B7" w:rsidRDefault="00FE26D9" w:rsidP="006D1AB7">
            <w:pPr>
              <w:pStyle w:val="NoSpacing"/>
              <w:rPr>
                <w:color w:val="000000"/>
                <w:lang w:val="en-IN" w:eastAsia="en-IN"/>
              </w:rPr>
            </w:pPr>
            <w:r w:rsidRPr="00CB42B7">
              <w:rPr>
                <w:color w:val="000000"/>
                <w:lang w:val="en-IN" w:eastAsia="en-IN"/>
              </w:rPr>
              <w:t>Min</w:t>
            </w:r>
          </w:p>
        </w:tc>
        <w:tc>
          <w:tcPr>
            <w:tcW w:w="831" w:type="dxa"/>
            <w:tcBorders>
              <w:top w:val="single" w:sz="4" w:space="0" w:color="auto"/>
              <w:left w:val="nil"/>
              <w:bottom w:val="single" w:sz="4" w:space="0" w:color="auto"/>
              <w:right w:val="nil"/>
            </w:tcBorders>
            <w:shd w:val="clear" w:color="auto" w:fill="auto"/>
            <w:noWrap/>
            <w:vAlign w:val="bottom"/>
            <w:hideMark/>
          </w:tcPr>
          <w:p w14:paraId="16C4D630" w14:textId="77777777" w:rsidR="00FE26D9" w:rsidRPr="00CB42B7" w:rsidRDefault="00FE26D9" w:rsidP="006D1AB7">
            <w:pPr>
              <w:pStyle w:val="NoSpacing"/>
              <w:rPr>
                <w:color w:val="000000"/>
                <w:lang w:val="en-IN" w:eastAsia="en-IN"/>
              </w:rPr>
            </w:pPr>
            <w:r w:rsidRPr="00CB42B7">
              <w:rPr>
                <w:color w:val="000000"/>
                <w:lang w:val="en-IN" w:eastAsia="en-IN"/>
              </w:rPr>
              <w:t>Max</w:t>
            </w:r>
          </w:p>
        </w:tc>
        <w:tc>
          <w:tcPr>
            <w:tcW w:w="1147" w:type="dxa"/>
            <w:gridSpan w:val="2"/>
            <w:tcBorders>
              <w:top w:val="single" w:sz="4" w:space="0" w:color="auto"/>
              <w:left w:val="nil"/>
              <w:bottom w:val="single" w:sz="4" w:space="0" w:color="auto"/>
              <w:right w:val="nil"/>
            </w:tcBorders>
            <w:shd w:val="clear" w:color="auto" w:fill="auto"/>
            <w:noWrap/>
            <w:vAlign w:val="bottom"/>
            <w:hideMark/>
          </w:tcPr>
          <w:p w14:paraId="18599D5F" w14:textId="77777777" w:rsidR="00FE26D9" w:rsidRPr="00CB42B7" w:rsidRDefault="00FE26D9" w:rsidP="006D1AB7">
            <w:pPr>
              <w:pStyle w:val="NoSpacing"/>
              <w:rPr>
                <w:color w:val="000000"/>
                <w:lang w:val="en-IN" w:eastAsia="en-IN"/>
              </w:rPr>
            </w:pPr>
            <w:r w:rsidRPr="00CB42B7">
              <w:rPr>
                <w:color w:val="000000"/>
                <w:lang w:val="en-IN" w:eastAsia="en-IN"/>
              </w:rPr>
              <w:t xml:space="preserve">25th </w:t>
            </w:r>
            <w:proofErr w:type="spellStart"/>
            <w:r w:rsidRPr="00CB42B7">
              <w:rPr>
                <w:color w:val="000000"/>
                <w:lang w:val="en-IN" w:eastAsia="en-IN"/>
              </w:rPr>
              <w:t>Pctl</w:t>
            </w:r>
            <w:proofErr w:type="spellEnd"/>
          </w:p>
        </w:tc>
        <w:tc>
          <w:tcPr>
            <w:tcW w:w="1048" w:type="dxa"/>
            <w:tcBorders>
              <w:top w:val="single" w:sz="4" w:space="0" w:color="auto"/>
              <w:left w:val="nil"/>
              <w:bottom w:val="single" w:sz="4" w:space="0" w:color="auto"/>
              <w:right w:val="nil"/>
            </w:tcBorders>
            <w:shd w:val="clear" w:color="auto" w:fill="auto"/>
            <w:noWrap/>
            <w:vAlign w:val="bottom"/>
            <w:hideMark/>
          </w:tcPr>
          <w:p w14:paraId="40F70640" w14:textId="77777777" w:rsidR="00FE26D9" w:rsidRPr="00FE26D9" w:rsidRDefault="00FE26D9" w:rsidP="006D1AB7">
            <w:pPr>
              <w:pStyle w:val="NoSpacing"/>
              <w:rPr>
                <w:color w:val="000000"/>
                <w:lang w:val="en-IN" w:eastAsia="en-IN"/>
              </w:rPr>
            </w:pPr>
            <w:r w:rsidRPr="00FE26D9">
              <w:rPr>
                <w:color w:val="000000"/>
                <w:lang w:val="en-IN" w:eastAsia="en-IN"/>
              </w:rPr>
              <w:t xml:space="preserve">Median </w:t>
            </w:r>
          </w:p>
        </w:tc>
        <w:tc>
          <w:tcPr>
            <w:tcW w:w="1240" w:type="dxa"/>
            <w:tcBorders>
              <w:top w:val="single" w:sz="4" w:space="0" w:color="auto"/>
              <w:left w:val="nil"/>
              <w:bottom w:val="single" w:sz="4" w:space="0" w:color="auto"/>
              <w:right w:val="nil"/>
            </w:tcBorders>
            <w:shd w:val="clear" w:color="auto" w:fill="auto"/>
            <w:noWrap/>
            <w:vAlign w:val="bottom"/>
            <w:hideMark/>
          </w:tcPr>
          <w:p w14:paraId="5FB79CB1" w14:textId="77777777" w:rsidR="00FE26D9" w:rsidRPr="00FE26D9" w:rsidRDefault="00FE26D9" w:rsidP="006D1AB7">
            <w:pPr>
              <w:pStyle w:val="NoSpacing"/>
              <w:rPr>
                <w:color w:val="000000"/>
                <w:lang w:val="en-IN" w:eastAsia="en-IN"/>
              </w:rPr>
            </w:pPr>
            <w:r w:rsidRPr="00FE26D9">
              <w:rPr>
                <w:color w:val="000000"/>
                <w:lang w:val="en-IN" w:eastAsia="en-IN"/>
              </w:rPr>
              <w:t xml:space="preserve">75th </w:t>
            </w:r>
            <w:proofErr w:type="spellStart"/>
            <w:r w:rsidRPr="00FE26D9">
              <w:rPr>
                <w:color w:val="000000"/>
                <w:lang w:val="en-IN" w:eastAsia="en-IN"/>
              </w:rPr>
              <w:t>Pctl</w:t>
            </w:r>
            <w:proofErr w:type="spellEnd"/>
          </w:p>
        </w:tc>
      </w:tr>
      <w:tr w:rsidR="00CB42B7" w:rsidRPr="00FE26D9" w14:paraId="2342ACAE" w14:textId="77777777" w:rsidTr="006D1AB7">
        <w:trPr>
          <w:trHeight w:val="290"/>
          <w:jc w:val="center"/>
        </w:trPr>
        <w:tc>
          <w:tcPr>
            <w:tcW w:w="3113" w:type="dxa"/>
            <w:gridSpan w:val="3"/>
            <w:tcBorders>
              <w:left w:val="nil"/>
              <w:bottom w:val="nil"/>
              <w:right w:val="nil"/>
            </w:tcBorders>
            <w:shd w:val="clear" w:color="auto" w:fill="auto"/>
            <w:noWrap/>
            <w:vAlign w:val="bottom"/>
            <w:hideMark/>
          </w:tcPr>
          <w:p w14:paraId="69D0346E" w14:textId="77777777" w:rsidR="00FE26D9" w:rsidRPr="00CB42B7" w:rsidRDefault="00FE26D9" w:rsidP="006D1AB7">
            <w:pPr>
              <w:pStyle w:val="NoSpacing"/>
              <w:rPr>
                <w:color w:val="000000"/>
                <w:lang w:val="en-IN" w:eastAsia="en-IN"/>
              </w:rPr>
            </w:pPr>
            <w:r w:rsidRPr="00CB42B7">
              <w:rPr>
                <w:color w:val="000000"/>
                <w:lang w:val="en-IN" w:eastAsia="en-IN"/>
              </w:rPr>
              <w:t>Case duration (days)</w:t>
            </w:r>
          </w:p>
        </w:tc>
        <w:tc>
          <w:tcPr>
            <w:tcW w:w="1417" w:type="dxa"/>
            <w:tcBorders>
              <w:top w:val="single" w:sz="4" w:space="0" w:color="auto"/>
              <w:left w:val="nil"/>
              <w:bottom w:val="nil"/>
              <w:right w:val="nil"/>
            </w:tcBorders>
            <w:shd w:val="clear" w:color="auto" w:fill="auto"/>
            <w:noWrap/>
            <w:vAlign w:val="bottom"/>
            <w:hideMark/>
          </w:tcPr>
          <w:p w14:paraId="7378488F" w14:textId="41627B0D" w:rsidR="00FE26D9" w:rsidRPr="00CB42B7" w:rsidRDefault="00FE26D9" w:rsidP="006D1AB7">
            <w:pPr>
              <w:pStyle w:val="NoSpacing"/>
              <w:rPr>
                <w:color w:val="000000"/>
                <w:lang w:val="en-IN" w:eastAsia="en-IN"/>
              </w:rPr>
            </w:pPr>
            <w:r w:rsidRPr="00CB42B7">
              <w:rPr>
                <w:color w:val="000000"/>
                <w:lang w:val="en-IN" w:eastAsia="en-IN"/>
              </w:rPr>
              <w:t xml:space="preserve">   9,427</w:t>
            </w:r>
          </w:p>
        </w:tc>
        <w:tc>
          <w:tcPr>
            <w:tcW w:w="831" w:type="dxa"/>
            <w:tcBorders>
              <w:top w:val="single" w:sz="4" w:space="0" w:color="auto"/>
              <w:left w:val="nil"/>
              <w:bottom w:val="nil"/>
              <w:right w:val="nil"/>
            </w:tcBorders>
            <w:shd w:val="clear" w:color="auto" w:fill="auto"/>
            <w:noWrap/>
            <w:vAlign w:val="bottom"/>
            <w:hideMark/>
          </w:tcPr>
          <w:p w14:paraId="688485AA" w14:textId="77777777" w:rsidR="00FE26D9" w:rsidRPr="00CB42B7" w:rsidRDefault="00FE26D9" w:rsidP="006D1AB7">
            <w:pPr>
              <w:pStyle w:val="NoSpacing"/>
              <w:rPr>
                <w:color w:val="000000"/>
                <w:lang w:val="en-IN" w:eastAsia="en-IN"/>
              </w:rPr>
            </w:pPr>
            <w:r w:rsidRPr="00CB42B7">
              <w:rPr>
                <w:color w:val="000000"/>
                <w:lang w:val="en-IN" w:eastAsia="en-IN"/>
              </w:rPr>
              <w:t>63.52</w:t>
            </w:r>
          </w:p>
        </w:tc>
        <w:tc>
          <w:tcPr>
            <w:tcW w:w="1082" w:type="dxa"/>
            <w:gridSpan w:val="2"/>
            <w:tcBorders>
              <w:top w:val="single" w:sz="4" w:space="0" w:color="auto"/>
              <w:left w:val="nil"/>
              <w:bottom w:val="nil"/>
              <w:right w:val="nil"/>
            </w:tcBorders>
            <w:shd w:val="clear" w:color="auto" w:fill="auto"/>
            <w:noWrap/>
            <w:vAlign w:val="bottom"/>
            <w:hideMark/>
          </w:tcPr>
          <w:p w14:paraId="3F08C45E" w14:textId="77777777" w:rsidR="00FE26D9" w:rsidRPr="00CB42B7" w:rsidRDefault="00FE26D9" w:rsidP="006D1AB7">
            <w:pPr>
              <w:pStyle w:val="NoSpacing"/>
              <w:rPr>
                <w:color w:val="000000"/>
                <w:lang w:val="en-IN" w:eastAsia="en-IN"/>
              </w:rPr>
            </w:pPr>
            <w:r w:rsidRPr="00CB42B7">
              <w:rPr>
                <w:color w:val="000000"/>
                <w:lang w:val="en-IN" w:eastAsia="en-IN"/>
              </w:rPr>
              <w:t>36.98</w:t>
            </w:r>
          </w:p>
        </w:tc>
        <w:tc>
          <w:tcPr>
            <w:tcW w:w="720" w:type="dxa"/>
            <w:tcBorders>
              <w:top w:val="single" w:sz="4" w:space="0" w:color="auto"/>
              <w:left w:val="nil"/>
              <w:bottom w:val="nil"/>
              <w:right w:val="nil"/>
            </w:tcBorders>
            <w:shd w:val="clear" w:color="auto" w:fill="auto"/>
            <w:noWrap/>
            <w:vAlign w:val="bottom"/>
            <w:hideMark/>
          </w:tcPr>
          <w:p w14:paraId="4E621C6B" w14:textId="77777777" w:rsidR="00FE26D9" w:rsidRPr="00CB42B7" w:rsidRDefault="00FE26D9" w:rsidP="006D1AB7">
            <w:pPr>
              <w:pStyle w:val="NoSpacing"/>
              <w:rPr>
                <w:color w:val="000000"/>
                <w:lang w:val="en-IN" w:eastAsia="en-IN"/>
              </w:rPr>
            </w:pPr>
            <w:r w:rsidRPr="00CB42B7">
              <w:rPr>
                <w:color w:val="000000"/>
                <w:lang w:val="en-IN" w:eastAsia="en-IN"/>
              </w:rPr>
              <w:t>1</w:t>
            </w:r>
          </w:p>
        </w:tc>
        <w:tc>
          <w:tcPr>
            <w:tcW w:w="831" w:type="dxa"/>
            <w:tcBorders>
              <w:top w:val="single" w:sz="4" w:space="0" w:color="auto"/>
              <w:left w:val="nil"/>
              <w:bottom w:val="nil"/>
              <w:right w:val="nil"/>
            </w:tcBorders>
            <w:shd w:val="clear" w:color="auto" w:fill="auto"/>
            <w:noWrap/>
            <w:vAlign w:val="bottom"/>
            <w:hideMark/>
          </w:tcPr>
          <w:p w14:paraId="24E91FA5" w14:textId="77777777" w:rsidR="00FE26D9" w:rsidRPr="00CB42B7" w:rsidRDefault="00FE26D9" w:rsidP="006D1AB7">
            <w:pPr>
              <w:pStyle w:val="NoSpacing"/>
              <w:rPr>
                <w:color w:val="000000"/>
                <w:lang w:val="en-IN" w:eastAsia="en-IN"/>
              </w:rPr>
            </w:pPr>
            <w:r w:rsidRPr="00CB42B7">
              <w:rPr>
                <w:color w:val="000000"/>
                <w:lang w:val="en-IN" w:eastAsia="en-IN"/>
              </w:rPr>
              <w:t>174</w:t>
            </w:r>
          </w:p>
        </w:tc>
        <w:tc>
          <w:tcPr>
            <w:tcW w:w="1147" w:type="dxa"/>
            <w:gridSpan w:val="2"/>
            <w:tcBorders>
              <w:top w:val="single" w:sz="4" w:space="0" w:color="auto"/>
              <w:left w:val="nil"/>
              <w:bottom w:val="nil"/>
              <w:right w:val="nil"/>
            </w:tcBorders>
            <w:shd w:val="clear" w:color="auto" w:fill="auto"/>
            <w:noWrap/>
            <w:vAlign w:val="bottom"/>
            <w:hideMark/>
          </w:tcPr>
          <w:p w14:paraId="1E6FD090" w14:textId="77777777" w:rsidR="00FE26D9" w:rsidRPr="00CB42B7" w:rsidRDefault="00FE26D9" w:rsidP="006D1AB7">
            <w:pPr>
              <w:pStyle w:val="NoSpacing"/>
              <w:rPr>
                <w:color w:val="000000"/>
                <w:lang w:val="en-IN" w:eastAsia="en-IN"/>
              </w:rPr>
            </w:pPr>
            <w:r w:rsidRPr="00CB42B7">
              <w:rPr>
                <w:color w:val="000000"/>
                <w:lang w:val="en-IN" w:eastAsia="en-IN"/>
              </w:rPr>
              <w:t>34</w:t>
            </w:r>
          </w:p>
        </w:tc>
        <w:tc>
          <w:tcPr>
            <w:tcW w:w="1048" w:type="dxa"/>
            <w:tcBorders>
              <w:top w:val="single" w:sz="4" w:space="0" w:color="auto"/>
              <w:left w:val="nil"/>
              <w:bottom w:val="nil"/>
              <w:right w:val="nil"/>
            </w:tcBorders>
            <w:shd w:val="clear" w:color="auto" w:fill="auto"/>
            <w:noWrap/>
            <w:vAlign w:val="bottom"/>
            <w:hideMark/>
          </w:tcPr>
          <w:p w14:paraId="42A0F310" w14:textId="77777777" w:rsidR="00FE26D9" w:rsidRPr="00FE26D9" w:rsidRDefault="00FE26D9" w:rsidP="006D1AB7">
            <w:pPr>
              <w:pStyle w:val="NoSpacing"/>
              <w:rPr>
                <w:color w:val="000000"/>
                <w:lang w:val="en-IN" w:eastAsia="en-IN"/>
              </w:rPr>
            </w:pPr>
            <w:r w:rsidRPr="00FE26D9">
              <w:rPr>
                <w:color w:val="000000"/>
                <w:lang w:val="en-IN" w:eastAsia="en-IN"/>
              </w:rPr>
              <w:t>58</w:t>
            </w:r>
          </w:p>
        </w:tc>
        <w:tc>
          <w:tcPr>
            <w:tcW w:w="1240" w:type="dxa"/>
            <w:tcBorders>
              <w:top w:val="single" w:sz="4" w:space="0" w:color="auto"/>
              <w:left w:val="nil"/>
              <w:bottom w:val="nil"/>
              <w:right w:val="nil"/>
            </w:tcBorders>
            <w:shd w:val="clear" w:color="auto" w:fill="auto"/>
            <w:noWrap/>
            <w:vAlign w:val="bottom"/>
            <w:hideMark/>
          </w:tcPr>
          <w:p w14:paraId="339982FB" w14:textId="77777777" w:rsidR="00FE26D9" w:rsidRPr="00FE26D9" w:rsidRDefault="00FE26D9" w:rsidP="006D1AB7">
            <w:pPr>
              <w:pStyle w:val="NoSpacing"/>
              <w:rPr>
                <w:color w:val="000000"/>
                <w:lang w:val="en-IN" w:eastAsia="en-IN"/>
              </w:rPr>
            </w:pPr>
            <w:r w:rsidRPr="00FE26D9">
              <w:rPr>
                <w:color w:val="000000"/>
                <w:lang w:val="en-IN" w:eastAsia="en-IN"/>
              </w:rPr>
              <w:t>86</w:t>
            </w:r>
          </w:p>
        </w:tc>
      </w:tr>
      <w:tr w:rsidR="00CB42B7" w:rsidRPr="00FE26D9" w14:paraId="2BABED31"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4FE74C5A" w14:textId="21476DC5" w:rsidR="00FE26D9" w:rsidRPr="00CB42B7" w:rsidRDefault="00FE26D9" w:rsidP="006D1AB7">
            <w:pPr>
              <w:pStyle w:val="NoSpacing"/>
              <w:rPr>
                <w:color w:val="000000"/>
                <w:lang w:val="en-IN" w:eastAsia="en-IN"/>
              </w:rPr>
            </w:pPr>
            <w:r w:rsidRPr="00CB42B7">
              <w:rPr>
                <w:color w:val="000000"/>
                <w:lang w:val="en-IN" w:eastAsia="en-IN"/>
              </w:rPr>
              <w:t xml:space="preserve">PM25 </w:t>
            </w:r>
            <w:r w:rsidR="00B547DC">
              <w:rPr>
                <w:color w:val="000000"/>
                <w:lang w:val="en-IN" w:eastAsia="en-IN"/>
              </w:rPr>
              <w:t xml:space="preserve">previous </w:t>
            </w:r>
            <w:r w:rsidRPr="00CB42B7">
              <w:rPr>
                <w:color w:val="000000"/>
                <w:lang w:val="en-IN" w:eastAsia="en-IN"/>
              </w:rPr>
              <w:t xml:space="preserve">1 day </w:t>
            </w:r>
            <w:r w:rsidR="00C958FD" w:rsidRPr="00CB42B7">
              <w:rPr>
                <w:color w:val="000000"/>
                <w:lang w:val="en-IN" w:eastAsia="en-IN"/>
              </w:rPr>
              <w:t>(</w:t>
            </w:r>
            <m:oMath>
              <m:r>
                <w:rPr>
                  <w:rFonts w:ascii="Cambria Math" w:hAnsi="Cambria Math"/>
                  <w:color w:val="000000"/>
                  <w:lang w:val="en-IN" w:eastAsia="en-IN"/>
                </w:rPr>
                <m:t>μ/</m:t>
              </m:r>
              <m:sSup>
                <m:sSupPr>
                  <m:ctrlPr>
                    <w:rPr>
                      <w:rFonts w:ascii="Cambria Math" w:hAnsi="Cambria Math"/>
                      <w:i/>
                      <w:color w:val="000000"/>
                      <w:lang w:val="en-IN" w:eastAsia="en-IN"/>
                    </w:rPr>
                  </m:ctrlPr>
                </m:sSupPr>
                <m:e>
                  <m:r>
                    <w:rPr>
                      <w:rFonts w:ascii="Cambria Math" w:hAnsi="Cambria Math"/>
                      <w:color w:val="000000"/>
                      <w:lang w:val="en-IN" w:eastAsia="en-IN"/>
                    </w:rPr>
                    <m:t>m</m:t>
                  </m:r>
                </m:e>
                <m:sup>
                  <m:r>
                    <w:rPr>
                      <w:rFonts w:ascii="Cambria Math" w:hAnsi="Cambria Math"/>
                      <w:color w:val="000000"/>
                      <w:lang w:val="en-IN" w:eastAsia="en-IN"/>
                    </w:rPr>
                    <m:t>3</m:t>
                  </m:r>
                </m:sup>
              </m:sSup>
            </m:oMath>
            <w:r w:rsidR="00C958FD" w:rsidRPr="00CB42B7">
              <w:rPr>
                <w:color w:val="000000"/>
                <w:lang w:val="en-IN" w:eastAsia="en-IN"/>
              </w:rPr>
              <w:t>)</w:t>
            </w:r>
          </w:p>
        </w:tc>
        <w:tc>
          <w:tcPr>
            <w:tcW w:w="1417" w:type="dxa"/>
            <w:tcBorders>
              <w:top w:val="nil"/>
              <w:left w:val="nil"/>
              <w:bottom w:val="nil"/>
              <w:right w:val="nil"/>
            </w:tcBorders>
            <w:shd w:val="clear" w:color="auto" w:fill="auto"/>
            <w:noWrap/>
            <w:vAlign w:val="bottom"/>
            <w:hideMark/>
          </w:tcPr>
          <w:p w14:paraId="7768FAEC" w14:textId="562E91E8" w:rsidR="00FE26D9" w:rsidRPr="00CB42B7" w:rsidRDefault="00CB42B7" w:rsidP="006D1AB7">
            <w:pPr>
              <w:pStyle w:val="NoSpacing"/>
              <w:rPr>
                <w:color w:val="000000"/>
                <w:lang w:val="en-IN" w:eastAsia="en-IN"/>
              </w:rPr>
            </w:pPr>
            <w:r>
              <w:rPr>
                <w:color w:val="000000"/>
                <w:lang w:val="en-IN" w:eastAsia="en-IN"/>
              </w:rPr>
              <w:t xml:space="preserve">   </w:t>
            </w:r>
            <w:r w:rsidR="00FE26D9" w:rsidRPr="00CB42B7">
              <w:rPr>
                <w:color w:val="000000"/>
                <w:lang w:val="en-IN" w:eastAsia="en-IN"/>
              </w:rPr>
              <w:t>9,427</w:t>
            </w:r>
          </w:p>
        </w:tc>
        <w:tc>
          <w:tcPr>
            <w:tcW w:w="831" w:type="dxa"/>
            <w:tcBorders>
              <w:top w:val="nil"/>
              <w:left w:val="nil"/>
              <w:bottom w:val="nil"/>
              <w:right w:val="nil"/>
            </w:tcBorders>
            <w:shd w:val="clear" w:color="auto" w:fill="auto"/>
            <w:noWrap/>
            <w:vAlign w:val="bottom"/>
            <w:hideMark/>
          </w:tcPr>
          <w:p w14:paraId="116F34F6" w14:textId="77777777" w:rsidR="00FE26D9" w:rsidRPr="00CB42B7" w:rsidRDefault="00FE26D9" w:rsidP="006D1AB7">
            <w:pPr>
              <w:pStyle w:val="NoSpacing"/>
              <w:rPr>
                <w:color w:val="000000"/>
                <w:lang w:val="en-IN" w:eastAsia="en-IN"/>
              </w:rPr>
            </w:pPr>
            <w:r w:rsidRPr="00CB42B7">
              <w:rPr>
                <w:color w:val="000000"/>
                <w:lang w:val="en-IN" w:eastAsia="en-IN"/>
              </w:rPr>
              <w:t>133.84</w:t>
            </w:r>
          </w:p>
        </w:tc>
        <w:tc>
          <w:tcPr>
            <w:tcW w:w="1082" w:type="dxa"/>
            <w:gridSpan w:val="2"/>
            <w:tcBorders>
              <w:top w:val="nil"/>
              <w:left w:val="nil"/>
              <w:bottom w:val="nil"/>
              <w:right w:val="nil"/>
            </w:tcBorders>
            <w:shd w:val="clear" w:color="auto" w:fill="auto"/>
            <w:noWrap/>
            <w:vAlign w:val="bottom"/>
            <w:hideMark/>
          </w:tcPr>
          <w:p w14:paraId="724F7357" w14:textId="77777777" w:rsidR="00FE26D9" w:rsidRPr="00CB42B7" w:rsidRDefault="00FE26D9" w:rsidP="006D1AB7">
            <w:pPr>
              <w:pStyle w:val="NoSpacing"/>
              <w:rPr>
                <w:color w:val="000000"/>
                <w:lang w:val="en-IN" w:eastAsia="en-IN"/>
              </w:rPr>
            </w:pPr>
            <w:r w:rsidRPr="00CB42B7">
              <w:rPr>
                <w:color w:val="000000"/>
                <w:lang w:val="en-IN" w:eastAsia="en-IN"/>
              </w:rPr>
              <w:t>58.52</w:t>
            </w:r>
          </w:p>
        </w:tc>
        <w:tc>
          <w:tcPr>
            <w:tcW w:w="720" w:type="dxa"/>
            <w:tcBorders>
              <w:top w:val="nil"/>
              <w:left w:val="nil"/>
              <w:bottom w:val="nil"/>
              <w:right w:val="nil"/>
            </w:tcBorders>
            <w:shd w:val="clear" w:color="auto" w:fill="auto"/>
            <w:noWrap/>
            <w:vAlign w:val="bottom"/>
            <w:hideMark/>
          </w:tcPr>
          <w:p w14:paraId="6D08D6BA" w14:textId="77777777" w:rsidR="00FE26D9" w:rsidRPr="00CB42B7" w:rsidRDefault="00FE26D9" w:rsidP="006D1AB7">
            <w:pPr>
              <w:pStyle w:val="NoSpacing"/>
              <w:rPr>
                <w:color w:val="000000"/>
                <w:lang w:val="en-IN" w:eastAsia="en-IN"/>
              </w:rPr>
            </w:pPr>
            <w:r w:rsidRPr="00CB42B7">
              <w:rPr>
                <w:color w:val="000000"/>
                <w:lang w:val="en-IN" w:eastAsia="en-IN"/>
              </w:rPr>
              <w:t>33.98</w:t>
            </w:r>
          </w:p>
        </w:tc>
        <w:tc>
          <w:tcPr>
            <w:tcW w:w="831" w:type="dxa"/>
            <w:tcBorders>
              <w:top w:val="nil"/>
              <w:left w:val="nil"/>
              <w:bottom w:val="nil"/>
              <w:right w:val="nil"/>
            </w:tcBorders>
            <w:shd w:val="clear" w:color="auto" w:fill="auto"/>
            <w:noWrap/>
            <w:vAlign w:val="bottom"/>
            <w:hideMark/>
          </w:tcPr>
          <w:p w14:paraId="07227CCF" w14:textId="77777777" w:rsidR="00FE26D9" w:rsidRPr="00CB42B7" w:rsidRDefault="00FE26D9" w:rsidP="006D1AB7">
            <w:pPr>
              <w:pStyle w:val="NoSpacing"/>
              <w:rPr>
                <w:color w:val="000000"/>
                <w:lang w:val="en-IN" w:eastAsia="en-IN"/>
              </w:rPr>
            </w:pPr>
            <w:r w:rsidRPr="00CB42B7">
              <w:rPr>
                <w:color w:val="000000"/>
                <w:lang w:val="en-IN" w:eastAsia="en-IN"/>
              </w:rPr>
              <w:t>248.70</w:t>
            </w:r>
          </w:p>
        </w:tc>
        <w:tc>
          <w:tcPr>
            <w:tcW w:w="1147" w:type="dxa"/>
            <w:gridSpan w:val="2"/>
            <w:tcBorders>
              <w:top w:val="nil"/>
              <w:left w:val="nil"/>
              <w:bottom w:val="nil"/>
              <w:right w:val="nil"/>
            </w:tcBorders>
            <w:shd w:val="clear" w:color="auto" w:fill="auto"/>
            <w:noWrap/>
            <w:vAlign w:val="bottom"/>
            <w:hideMark/>
          </w:tcPr>
          <w:p w14:paraId="511ABF94" w14:textId="77777777" w:rsidR="00FE26D9" w:rsidRPr="00CB42B7" w:rsidRDefault="00FE26D9" w:rsidP="006D1AB7">
            <w:pPr>
              <w:pStyle w:val="NoSpacing"/>
              <w:rPr>
                <w:color w:val="000000"/>
                <w:lang w:val="en-IN" w:eastAsia="en-IN"/>
              </w:rPr>
            </w:pPr>
            <w:r w:rsidRPr="00CB42B7">
              <w:rPr>
                <w:color w:val="000000"/>
                <w:lang w:val="en-IN" w:eastAsia="en-IN"/>
              </w:rPr>
              <w:t>76.17</w:t>
            </w:r>
          </w:p>
        </w:tc>
        <w:tc>
          <w:tcPr>
            <w:tcW w:w="1048" w:type="dxa"/>
            <w:tcBorders>
              <w:top w:val="nil"/>
              <w:left w:val="nil"/>
              <w:bottom w:val="nil"/>
              <w:right w:val="nil"/>
            </w:tcBorders>
            <w:shd w:val="clear" w:color="auto" w:fill="auto"/>
            <w:noWrap/>
            <w:vAlign w:val="bottom"/>
            <w:hideMark/>
          </w:tcPr>
          <w:p w14:paraId="0A347B51" w14:textId="77777777" w:rsidR="00FE26D9" w:rsidRPr="00FE26D9" w:rsidRDefault="00FE26D9" w:rsidP="006D1AB7">
            <w:pPr>
              <w:pStyle w:val="NoSpacing"/>
              <w:rPr>
                <w:color w:val="000000"/>
                <w:lang w:val="en-IN" w:eastAsia="en-IN"/>
              </w:rPr>
            </w:pPr>
            <w:r w:rsidRPr="00FE26D9">
              <w:rPr>
                <w:color w:val="000000"/>
                <w:lang w:val="en-IN" w:eastAsia="en-IN"/>
              </w:rPr>
              <w:t>130.62</w:t>
            </w:r>
          </w:p>
        </w:tc>
        <w:tc>
          <w:tcPr>
            <w:tcW w:w="1240" w:type="dxa"/>
            <w:tcBorders>
              <w:top w:val="nil"/>
              <w:left w:val="nil"/>
              <w:bottom w:val="nil"/>
              <w:right w:val="nil"/>
            </w:tcBorders>
            <w:shd w:val="clear" w:color="auto" w:fill="auto"/>
            <w:noWrap/>
            <w:vAlign w:val="bottom"/>
            <w:hideMark/>
          </w:tcPr>
          <w:p w14:paraId="1A6B9125" w14:textId="77777777" w:rsidR="00FE26D9" w:rsidRPr="00FE26D9" w:rsidRDefault="00FE26D9" w:rsidP="006D1AB7">
            <w:pPr>
              <w:pStyle w:val="NoSpacing"/>
              <w:rPr>
                <w:color w:val="000000"/>
                <w:lang w:val="en-IN" w:eastAsia="en-IN"/>
              </w:rPr>
            </w:pPr>
            <w:r w:rsidRPr="00FE26D9">
              <w:rPr>
                <w:color w:val="000000"/>
                <w:lang w:val="en-IN" w:eastAsia="en-IN"/>
              </w:rPr>
              <w:t>186.00</w:t>
            </w:r>
          </w:p>
        </w:tc>
      </w:tr>
      <w:tr w:rsidR="00CB42B7" w:rsidRPr="00FE26D9" w14:paraId="333C2254"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7DB745D7" w14:textId="5C7DB283" w:rsidR="00FE26D9" w:rsidRPr="00CB42B7" w:rsidRDefault="00FE26D9" w:rsidP="006D1AB7">
            <w:pPr>
              <w:pStyle w:val="NoSpacing"/>
              <w:rPr>
                <w:color w:val="000000"/>
                <w:lang w:val="en-IN" w:eastAsia="en-IN"/>
              </w:rPr>
            </w:pPr>
            <w:r w:rsidRPr="00CB42B7">
              <w:rPr>
                <w:color w:val="000000"/>
                <w:lang w:val="en-IN" w:eastAsia="en-IN"/>
              </w:rPr>
              <w:t xml:space="preserve">PM25 </w:t>
            </w:r>
            <w:r w:rsidR="00B547DC">
              <w:rPr>
                <w:color w:val="000000"/>
                <w:lang w:val="en-IN" w:eastAsia="en-IN"/>
              </w:rPr>
              <w:t xml:space="preserve">previous </w:t>
            </w:r>
            <w:r w:rsidRPr="00CB42B7">
              <w:rPr>
                <w:color w:val="000000"/>
                <w:lang w:val="en-IN" w:eastAsia="en-IN"/>
              </w:rPr>
              <w:t xml:space="preserve">1 week </w:t>
            </w:r>
            <w:r w:rsidR="00C958FD" w:rsidRPr="00CB42B7">
              <w:rPr>
                <w:color w:val="000000"/>
                <w:lang w:val="en-IN" w:eastAsia="en-IN"/>
              </w:rPr>
              <w:t>(</w:t>
            </w:r>
            <m:oMath>
              <m:r>
                <w:rPr>
                  <w:rFonts w:ascii="Cambria Math" w:hAnsi="Cambria Math"/>
                  <w:color w:val="000000"/>
                  <w:lang w:val="en-IN" w:eastAsia="en-IN"/>
                </w:rPr>
                <m:t>μ/</m:t>
              </m:r>
              <m:sSup>
                <m:sSupPr>
                  <m:ctrlPr>
                    <w:rPr>
                      <w:rFonts w:ascii="Cambria Math" w:hAnsi="Cambria Math"/>
                      <w:i/>
                      <w:color w:val="000000"/>
                      <w:lang w:val="en-IN" w:eastAsia="en-IN"/>
                    </w:rPr>
                  </m:ctrlPr>
                </m:sSupPr>
                <m:e>
                  <m:r>
                    <w:rPr>
                      <w:rFonts w:ascii="Cambria Math" w:hAnsi="Cambria Math"/>
                      <w:color w:val="000000"/>
                      <w:lang w:val="en-IN" w:eastAsia="en-IN"/>
                    </w:rPr>
                    <m:t>m</m:t>
                  </m:r>
                </m:e>
                <m:sup>
                  <m:r>
                    <w:rPr>
                      <w:rFonts w:ascii="Cambria Math" w:hAnsi="Cambria Math"/>
                      <w:color w:val="000000"/>
                      <w:lang w:val="en-IN" w:eastAsia="en-IN"/>
                    </w:rPr>
                    <m:t>3</m:t>
                  </m:r>
                </m:sup>
              </m:sSup>
            </m:oMath>
            <w:r w:rsidR="00C958FD" w:rsidRPr="00CB42B7">
              <w:rPr>
                <w:color w:val="000000"/>
                <w:lang w:val="en-IN" w:eastAsia="en-IN"/>
              </w:rPr>
              <w:t>)</w:t>
            </w:r>
          </w:p>
        </w:tc>
        <w:tc>
          <w:tcPr>
            <w:tcW w:w="1417" w:type="dxa"/>
            <w:tcBorders>
              <w:top w:val="nil"/>
              <w:left w:val="nil"/>
              <w:bottom w:val="nil"/>
              <w:right w:val="nil"/>
            </w:tcBorders>
            <w:shd w:val="clear" w:color="auto" w:fill="auto"/>
            <w:noWrap/>
            <w:vAlign w:val="bottom"/>
            <w:hideMark/>
          </w:tcPr>
          <w:p w14:paraId="7AFF4F86" w14:textId="53A0486C" w:rsidR="00FE26D9" w:rsidRPr="00CB42B7" w:rsidRDefault="00FE26D9" w:rsidP="006D1AB7">
            <w:pPr>
              <w:pStyle w:val="NoSpacing"/>
              <w:rPr>
                <w:color w:val="000000"/>
                <w:lang w:val="en-IN" w:eastAsia="en-IN"/>
              </w:rPr>
            </w:pPr>
            <w:r w:rsidRPr="00CB42B7">
              <w:rPr>
                <w:color w:val="000000"/>
                <w:lang w:val="en-IN" w:eastAsia="en-IN"/>
              </w:rPr>
              <w:t xml:space="preserve">  </w:t>
            </w:r>
            <w:r w:rsidR="00CB42B7">
              <w:rPr>
                <w:color w:val="000000"/>
                <w:lang w:val="en-IN" w:eastAsia="en-IN"/>
              </w:rPr>
              <w:t xml:space="preserve"> </w:t>
            </w:r>
            <w:r w:rsidRPr="00CB42B7">
              <w:rPr>
                <w:color w:val="000000"/>
                <w:lang w:val="en-IN" w:eastAsia="en-IN"/>
              </w:rPr>
              <w:t>7,470</w:t>
            </w:r>
          </w:p>
        </w:tc>
        <w:tc>
          <w:tcPr>
            <w:tcW w:w="831" w:type="dxa"/>
            <w:tcBorders>
              <w:top w:val="nil"/>
              <w:left w:val="nil"/>
              <w:bottom w:val="nil"/>
              <w:right w:val="nil"/>
            </w:tcBorders>
            <w:shd w:val="clear" w:color="auto" w:fill="auto"/>
            <w:noWrap/>
            <w:vAlign w:val="bottom"/>
            <w:hideMark/>
          </w:tcPr>
          <w:p w14:paraId="2F9AC2CA" w14:textId="77777777" w:rsidR="00FE26D9" w:rsidRPr="00CB42B7" w:rsidRDefault="00FE26D9" w:rsidP="006D1AB7">
            <w:pPr>
              <w:pStyle w:val="NoSpacing"/>
              <w:rPr>
                <w:color w:val="000000"/>
                <w:lang w:val="en-IN" w:eastAsia="en-IN"/>
              </w:rPr>
            </w:pPr>
            <w:r w:rsidRPr="00CB42B7">
              <w:rPr>
                <w:color w:val="000000"/>
                <w:lang w:val="en-IN" w:eastAsia="en-IN"/>
              </w:rPr>
              <w:t>141.90</w:t>
            </w:r>
          </w:p>
        </w:tc>
        <w:tc>
          <w:tcPr>
            <w:tcW w:w="1082" w:type="dxa"/>
            <w:gridSpan w:val="2"/>
            <w:tcBorders>
              <w:top w:val="nil"/>
              <w:left w:val="nil"/>
              <w:bottom w:val="nil"/>
              <w:right w:val="nil"/>
            </w:tcBorders>
            <w:shd w:val="clear" w:color="auto" w:fill="auto"/>
            <w:noWrap/>
            <w:vAlign w:val="bottom"/>
            <w:hideMark/>
          </w:tcPr>
          <w:p w14:paraId="5F2F83A4" w14:textId="77777777" w:rsidR="00FE26D9" w:rsidRPr="00CB42B7" w:rsidRDefault="00FE26D9" w:rsidP="006D1AB7">
            <w:pPr>
              <w:pStyle w:val="NoSpacing"/>
              <w:rPr>
                <w:color w:val="000000"/>
                <w:lang w:val="en-IN" w:eastAsia="en-IN"/>
              </w:rPr>
            </w:pPr>
            <w:r w:rsidRPr="00CB42B7">
              <w:rPr>
                <w:color w:val="000000"/>
                <w:lang w:val="en-IN" w:eastAsia="en-IN"/>
              </w:rPr>
              <w:t>85.17</w:t>
            </w:r>
          </w:p>
        </w:tc>
        <w:tc>
          <w:tcPr>
            <w:tcW w:w="720" w:type="dxa"/>
            <w:tcBorders>
              <w:top w:val="nil"/>
              <w:left w:val="nil"/>
              <w:bottom w:val="nil"/>
              <w:right w:val="nil"/>
            </w:tcBorders>
            <w:shd w:val="clear" w:color="auto" w:fill="auto"/>
            <w:noWrap/>
            <w:vAlign w:val="bottom"/>
            <w:hideMark/>
          </w:tcPr>
          <w:p w14:paraId="3CDA16A0" w14:textId="77777777" w:rsidR="00FE26D9" w:rsidRPr="00CB42B7" w:rsidRDefault="00FE26D9" w:rsidP="006D1AB7">
            <w:pPr>
              <w:pStyle w:val="NoSpacing"/>
              <w:rPr>
                <w:color w:val="000000"/>
                <w:lang w:val="en-IN" w:eastAsia="en-IN"/>
              </w:rPr>
            </w:pPr>
            <w:r w:rsidRPr="00CB42B7">
              <w:rPr>
                <w:color w:val="000000"/>
                <w:lang w:val="en-IN" w:eastAsia="en-IN"/>
              </w:rPr>
              <w:t>20.50</w:t>
            </w:r>
          </w:p>
        </w:tc>
        <w:tc>
          <w:tcPr>
            <w:tcW w:w="831" w:type="dxa"/>
            <w:tcBorders>
              <w:top w:val="nil"/>
              <w:left w:val="nil"/>
              <w:bottom w:val="nil"/>
              <w:right w:val="nil"/>
            </w:tcBorders>
            <w:shd w:val="clear" w:color="auto" w:fill="auto"/>
            <w:noWrap/>
            <w:vAlign w:val="bottom"/>
            <w:hideMark/>
          </w:tcPr>
          <w:p w14:paraId="15A2CF1F" w14:textId="77777777" w:rsidR="00FE26D9" w:rsidRPr="00CB42B7" w:rsidRDefault="00FE26D9" w:rsidP="006D1AB7">
            <w:pPr>
              <w:pStyle w:val="NoSpacing"/>
              <w:rPr>
                <w:color w:val="000000"/>
                <w:lang w:val="en-IN" w:eastAsia="en-IN"/>
              </w:rPr>
            </w:pPr>
            <w:r w:rsidRPr="00CB42B7">
              <w:rPr>
                <w:color w:val="000000"/>
                <w:lang w:val="en-IN" w:eastAsia="en-IN"/>
              </w:rPr>
              <w:t>479.00</w:t>
            </w:r>
          </w:p>
        </w:tc>
        <w:tc>
          <w:tcPr>
            <w:tcW w:w="1147" w:type="dxa"/>
            <w:gridSpan w:val="2"/>
            <w:tcBorders>
              <w:top w:val="nil"/>
              <w:left w:val="nil"/>
              <w:bottom w:val="nil"/>
              <w:right w:val="nil"/>
            </w:tcBorders>
            <w:shd w:val="clear" w:color="auto" w:fill="auto"/>
            <w:noWrap/>
            <w:vAlign w:val="bottom"/>
            <w:hideMark/>
          </w:tcPr>
          <w:p w14:paraId="21F08752" w14:textId="77777777" w:rsidR="00FE26D9" w:rsidRPr="00CB42B7" w:rsidRDefault="00FE26D9" w:rsidP="006D1AB7">
            <w:pPr>
              <w:pStyle w:val="NoSpacing"/>
              <w:rPr>
                <w:color w:val="000000"/>
                <w:lang w:val="en-IN" w:eastAsia="en-IN"/>
              </w:rPr>
            </w:pPr>
            <w:r w:rsidRPr="00CB42B7">
              <w:rPr>
                <w:color w:val="000000"/>
                <w:lang w:val="en-IN" w:eastAsia="en-IN"/>
              </w:rPr>
              <w:t>68.40</w:t>
            </w:r>
          </w:p>
        </w:tc>
        <w:tc>
          <w:tcPr>
            <w:tcW w:w="1048" w:type="dxa"/>
            <w:tcBorders>
              <w:top w:val="nil"/>
              <w:left w:val="nil"/>
              <w:bottom w:val="nil"/>
              <w:right w:val="nil"/>
            </w:tcBorders>
            <w:shd w:val="clear" w:color="auto" w:fill="auto"/>
            <w:noWrap/>
            <w:vAlign w:val="bottom"/>
            <w:hideMark/>
          </w:tcPr>
          <w:p w14:paraId="23840AF7" w14:textId="77777777" w:rsidR="00FE26D9" w:rsidRPr="00FE26D9" w:rsidRDefault="00FE26D9" w:rsidP="006D1AB7">
            <w:pPr>
              <w:pStyle w:val="NoSpacing"/>
              <w:rPr>
                <w:color w:val="000000"/>
                <w:lang w:val="en-IN" w:eastAsia="en-IN"/>
              </w:rPr>
            </w:pPr>
            <w:r w:rsidRPr="00FE26D9">
              <w:rPr>
                <w:color w:val="000000"/>
                <w:lang w:val="en-IN" w:eastAsia="en-IN"/>
              </w:rPr>
              <w:t>128.65</w:t>
            </w:r>
          </w:p>
        </w:tc>
        <w:tc>
          <w:tcPr>
            <w:tcW w:w="1240" w:type="dxa"/>
            <w:tcBorders>
              <w:top w:val="nil"/>
              <w:left w:val="nil"/>
              <w:bottom w:val="nil"/>
              <w:right w:val="nil"/>
            </w:tcBorders>
            <w:shd w:val="clear" w:color="auto" w:fill="auto"/>
            <w:noWrap/>
            <w:vAlign w:val="bottom"/>
            <w:hideMark/>
          </w:tcPr>
          <w:p w14:paraId="1BA565B9" w14:textId="77777777" w:rsidR="00FE26D9" w:rsidRPr="00FE26D9" w:rsidRDefault="00FE26D9" w:rsidP="006D1AB7">
            <w:pPr>
              <w:pStyle w:val="NoSpacing"/>
              <w:rPr>
                <w:color w:val="000000"/>
                <w:lang w:val="en-IN" w:eastAsia="en-IN"/>
              </w:rPr>
            </w:pPr>
            <w:r w:rsidRPr="00FE26D9">
              <w:rPr>
                <w:color w:val="000000"/>
                <w:lang w:val="en-IN" w:eastAsia="en-IN"/>
              </w:rPr>
              <w:t>197.00</w:t>
            </w:r>
          </w:p>
        </w:tc>
      </w:tr>
      <w:tr w:rsidR="00CB42B7" w:rsidRPr="00FE26D9" w14:paraId="27D022FF"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24FDCC3B" w14:textId="15762EB1" w:rsidR="00FE26D9" w:rsidRPr="00CB42B7" w:rsidRDefault="00FE26D9" w:rsidP="006D1AB7">
            <w:pPr>
              <w:pStyle w:val="NoSpacing"/>
              <w:rPr>
                <w:color w:val="000000"/>
                <w:lang w:val="en-IN" w:eastAsia="en-IN"/>
              </w:rPr>
            </w:pPr>
            <w:r w:rsidRPr="00CB42B7">
              <w:rPr>
                <w:color w:val="000000"/>
                <w:lang w:val="en-IN" w:eastAsia="en-IN"/>
              </w:rPr>
              <w:t xml:space="preserve">PM25 </w:t>
            </w:r>
            <w:r w:rsidR="00B547DC">
              <w:rPr>
                <w:color w:val="000000"/>
                <w:lang w:val="en-IN" w:eastAsia="en-IN"/>
              </w:rPr>
              <w:t xml:space="preserve">previous </w:t>
            </w:r>
            <w:r w:rsidRPr="00CB42B7">
              <w:rPr>
                <w:color w:val="000000"/>
                <w:lang w:val="en-IN" w:eastAsia="en-IN"/>
              </w:rPr>
              <w:t xml:space="preserve">2 </w:t>
            </w:r>
            <w:proofErr w:type="gramStart"/>
            <w:r w:rsidRPr="00CB42B7">
              <w:rPr>
                <w:color w:val="000000"/>
                <w:lang w:val="en-IN" w:eastAsia="en-IN"/>
              </w:rPr>
              <w:t>week</w:t>
            </w:r>
            <w:proofErr w:type="gramEnd"/>
            <w:r w:rsidRPr="00CB42B7">
              <w:rPr>
                <w:color w:val="000000"/>
                <w:lang w:val="en-IN" w:eastAsia="en-IN"/>
              </w:rPr>
              <w:t xml:space="preserve"> </w:t>
            </w:r>
            <w:r w:rsidR="00C958FD" w:rsidRPr="00CB42B7">
              <w:rPr>
                <w:color w:val="000000"/>
                <w:lang w:val="en-IN" w:eastAsia="en-IN"/>
              </w:rPr>
              <w:t>(</w:t>
            </w:r>
            <m:oMath>
              <m:r>
                <w:rPr>
                  <w:rFonts w:ascii="Cambria Math" w:hAnsi="Cambria Math"/>
                  <w:color w:val="000000"/>
                  <w:lang w:val="en-IN" w:eastAsia="en-IN"/>
                </w:rPr>
                <m:t>μ/</m:t>
              </m:r>
              <m:sSup>
                <m:sSupPr>
                  <m:ctrlPr>
                    <w:rPr>
                      <w:rFonts w:ascii="Cambria Math" w:hAnsi="Cambria Math"/>
                      <w:i/>
                      <w:color w:val="000000"/>
                      <w:lang w:val="en-IN" w:eastAsia="en-IN"/>
                    </w:rPr>
                  </m:ctrlPr>
                </m:sSupPr>
                <m:e>
                  <m:r>
                    <w:rPr>
                      <w:rFonts w:ascii="Cambria Math" w:hAnsi="Cambria Math"/>
                      <w:color w:val="000000"/>
                      <w:lang w:val="en-IN" w:eastAsia="en-IN"/>
                    </w:rPr>
                    <m:t>m</m:t>
                  </m:r>
                </m:e>
                <m:sup>
                  <m:r>
                    <w:rPr>
                      <w:rFonts w:ascii="Cambria Math" w:hAnsi="Cambria Math"/>
                      <w:color w:val="000000"/>
                      <w:lang w:val="en-IN" w:eastAsia="en-IN"/>
                    </w:rPr>
                    <m:t>3</m:t>
                  </m:r>
                </m:sup>
              </m:sSup>
            </m:oMath>
            <w:r w:rsidR="00C958FD" w:rsidRPr="00CB42B7">
              <w:rPr>
                <w:color w:val="000000"/>
                <w:lang w:val="en-IN" w:eastAsia="en-IN"/>
              </w:rPr>
              <w:t>)</w:t>
            </w:r>
          </w:p>
        </w:tc>
        <w:tc>
          <w:tcPr>
            <w:tcW w:w="1417" w:type="dxa"/>
            <w:tcBorders>
              <w:top w:val="nil"/>
              <w:left w:val="nil"/>
              <w:bottom w:val="nil"/>
              <w:right w:val="nil"/>
            </w:tcBorders>
            <w:shd w:val="clear" w:color="auto" w:fill="auto"/>
            <w:noWrap/>
            <w:vAlign w:val="bottom"/>
            <w:hideMark/>
          </w:tcPr>
          <w:p w14:paraId="3790B380" w14:textId="47073A97" w:rsidR="00FE26D9" w:rsidRPr="00CB42B7" w:rsidRDefault="00FE26D9" w:rsidP="006D1AB7">
            <w:pPr>
              <w:pStyle w:val="NoSpacing"/>
              <w:rPr>
                <w:color w:val="000000"/>
                <w:lang w:val="en-IN" w:eastAsia="en-IN"/>
              </w:rPr>
            </w:pPr>
            <w:r w:rsidRPr="00CB42B7">
              <w:rPr>
                <w:color w:val="000000"/>
                <w:lang w:val="en-IN" w:eastAsia="en-IN"/>
              </w:rPr>
              <w:t xml:space="preserve">  </w:t>
            </w:r>
            <w:r w:rsidR="00CB42B7">
              <w:rPr>
                <w:color w:val="000000"/>
                <w:lang w:val="en-IN" w:eastAsia="en-IN"/>
              </w:rPr>
              <w:t xml:space="preserve"> </w:t>
            </w:r>
            <w:r w:rsidRPr="00CB42B7">
              <w:rPr>
                <w:color w:val="000000"/>
                <w:lang w:val="en-IN" w:eastAsia="en-IN"/>
              </w:rPr>
              <w:t>3,202</w:t>
            </w:r>
          </w:p>
        </w:tc>
        <w:tc>
          <w:tcPr>
            <w:tcW w:w="831" w:type="dxa"/>
            <w:tcBorders>
              <w:top w:val="nil"/>
              <w:left w:val="nil"/>
              <w:bottom w:val="nil"/>
              <w:right w:val="nil"/>
            </w:tcBorders>
            <w:shd w:val="clear" w:color="auto" w:fill="auto"/>
            <w:noWrap/>
            <w:vAlign w:val="bottom"/>
            <w:hideMark/>
          </w:tcPr>
          <w:p w14:paraId="4542F497" w14:textId="77777777" w:rsidR="00FE26D9" w:rsidRPr="00CB42B7" w:rsidRDefault="00FE26D9" w:rsidP="006D1AB7">
            <w:pPr>
              <w:pStyle w:val="NoSpacing"/>
              <w:rPr>
                <w:color w:val="000000"/>
                <w:lang w:val="en-IN" w:eastAsia="en-IN"/>
              </w:rPr>
            </w:pPr>
            <w:r w:rsidRPr="00CB42B7">
              <w:rPr>
                <w:color w:val="000000"/>
                <w:lang w:val="en-IN" w:eastAsia="en-IN"/>
              </w:rPr>
              <w:t>143.74</w:t>
            </w:r>
          </w:p>
        </w:tc>
        <w:tc>
          <w:tcPr>
            <w:tcW w:w="1082" w:type="dxa"/>
            <w:gridSpan w:val="2"/>
            <w:tcBorders>
              <w:top w:val="nil"/>
              <w:left w:val="nil"/>
              <w:bottom w:val="nil"/>
              <w:right w:val="nil"/>
            </w:tcBorders>
            <w:shd w:val="clear" w:color="auto" w:fill="auto"/>
            <w:noWrap/>
            <w:vAlign w:val="bottom"/>
            <w:hideMark/>
          </w:tcPr>
          <w:p w14:paraId="34AE1C73" w14:textId="77777777" w:rsidR="00FE26D9" w:rsidRPr="00CB42B7" w:rsidRDefault="00FE26D9" w:rsidP="006D1AB7">
            <w:pPr>
              <w:pStyle w:val="NoSpacing"/>
              <w:rPr>
                <w:color w:val="000000"/>
                <w:lang w:val="en-IN" w:eastAsia="en-IN"/>
              </w:rPr>
            </w:pPr>
            <w:r w:rsidRPr="00CB42B7">
              <w:rPr>
                <w:color w:val="000000"/>
                <w:lang w:val="en-IN" w:eastAsia="en-IN"/>
              </w:rPr>
              <w:t>84.61</w:t>
            </w:r>
          </w:p>
        </w:tc>
        <w:tc>
          <w:tcPr>
            <w:tcW w:w="720" w:type="dxa"/>
            <w:tcBorders>
              <w:top w:val="nil"/>
              <w:left w:val="nil"/>
              <w:bottom w:val="nil"/>
              <w:right w:val="nil"/>
            </w:tcBorders>
            <w:shd w:val="clear" w:color="auto" w:fill="auto"/>
            <w:noWrap/>
            <w:vAlign w:val="bottom"/>
            <w:hideMark/>
          </w:tcPr>
          <w:p w14:paraId="16862838" w14:textId="77777777" w:rsidR="00FE26D9" w:rsidRPr="00CB42B7" w:rsidRDefault="00FE26D9" w:rsidP="006D1AB7">
            <w:pPr>
              <w:pStyle w:val="NoSpacing"/>
              <w:rPr>
                <w:color w:val="000000"/>
                <w:lang w:val="en-IN" w:eastAsia="en-IN"/>
              </w:rPr>
            </w:pPr>
            <w:r w:rsidRPr="00CB42B7">
              <w:rPr>
                <w:color w:val="000000"/>
                <w:lang w:val="en-IN" w:eastAsia="en-IN"/>
              </w:rPr>
              <w:t>28.15</w:t>
            </w:r>
          </w:p>
        </w:tc>
        <w:tc>
          <w:tcPr>
            <w:tcW w:w="831" w:type="dxa"/>
            <w:tcBorders>
              <w:top w:val="nil"/>
              <w:left w:val="nil"/>
              <w:bottom w:val="nil"/>
              <w:right w:val="nil"/>
            </w:tcBorders>
            <w:shd w:val="clear" w:color="auto" w:fill="auto"/>
            <w:noWrap/>
            <w:vAlign w:val="bottom"/>
            <w:hideMark/>
          </w:tcPr>
          <w:p w14:paraId="33C1A7EA" w14:textId="77777777" w:rsidR="00FE26D9" w:rsidRPr="00CB42B7" w:rsidRDefault="00FE26D9" w:rsidP="006D1AB7">
            <w:pPr>
              <w:pStyle w:val="NoSpacing"/>
              <w:rPr>
                <w:color w:val="000000"/>
                <w:lang w:val="en-IN" w:eastAsia="en-IN"/>
              </w:rPr>
            </w:pPr>
            <w:r w:rsidRPr="00CB42B7">
              <w:rPr>
                <w:color w:val="000000"/>
                <w:lang w:val="en-IN" w:eastAsia="en-IN"/>
              </w:rPr>
              <w:t>339.89</w:t>
            </w:r>
          </w:p>
        </w:tc>
        <w:tc>
          <w:tcPr>
            <w:tcW w:w="1147" w:type="dxa"/>
            <w:gridSpan w:val="2"/>
            <w:tcBorders>
              <w:top w:val="nil"/>
              <w:left w:val="nil"/>
              <w:bottom w:val="nil"/>
              <w:right w:val="nil"/>
            </w:tcBorders>
            <w:shd w:val="clear" w:color="auto" w:fill="auto"/>
            <w:noWrap/>
            <w:vAlign w:val="bottom"/>
            <w:hideMark/>
          </w:tcPr>
          <w:p w14:paraId="27537EFF" w14:textId="77777777" w:rsidR="00FE26D9" w:rsidRPr="00CB42B7" w:rsidRDefault="00FE26D9" w:rsidP="006D1AB7">
            <w:pPr>
              <w:pStyle w:val="NoSpacing"/>
              <w:rPr>
                <w:color w:val="000000"/>
                <w:lang w:val="en-IN" w:eastAsia="en-IN"/>
              </w:rPr>
            </w:pPr>
            <w:r w:rsidRPr="00CB42B7">
              <w:rPr>
                <w:color w:val="000000"/>
                <w:lang w:val="en-IN" w:eastAsia="en-IN"/>
              </w:rPr>
              <w:t>64.01</w:t>
            </w:r>
          </w:p>
        </w:tc>
        <w:tc>
          <w:tcPr>
            <w:tcW w:w="1048" w:type="dxa"/>
            <w:tcBorders>
              <w:top w:val="nil"/>
              <w:left w:val="nil"/>
              <w:bottom w:val="nil"/>
              <w:right w:val="nil"/>
            </w:tcBorders>
            <w:shd w:val="clear" w:color="auto" w:fill="auto"/>
            <w:noWrap/>
            <w:vAlign w:val="bottom"/>
            <w:hideMark/>
          </w:tcPr>
          <w:p w14:paraId="493BBEF3" w14:textId="77777777" w:rsidR="00FE26D9" w:rsidRPr="00FE26D9" w:rsidRDefault="00FE26D9" w:rsidP="006D1AB7">
            <w:pPr>
              <w:pStyle w:val="NoSpacing"/>
              <w:rPr>
                <w:color w:val="000000"/>
                <w:lang w:val="en-IN" w:eastAsia="en-IN"/>
              </w:rPr>
            </w:pPr>
            <w:r w:rsidRPr="00FE26D9">
              <w:rPr>
                <w:color w:val="000000"/>
                <w:lang w:val="en-IN" w:eastAsia="en-IN"/>
              </w:rPr>
              <w:t>132.14</w:t>
            </w:r>
          </w:p>
        </w:tc>
        <w:tc>
          <w:tcPr>
            <w:tcW w:w="1240" w:type="dxa"/>
            <w:tcBorders>
              <w:top w:val="nil"/>
              <w:left w:val="nil"/>
              <w:bottom w:val="nil"/>
              <w:right w:val="nil"/>
            </w:tcBorders>
            <w:shd w:val="clear" w:color="auto" w:fill="auto"/>
            <w:noWrap/>
            <w:vAlign w:val="bottom"/>
            <w:hideMark/>
          </w:tcPr>
          <w:p w14:paraId="1419409A" w14:textId="77777777" w:rsidR="00FE26D9" w:rsidRPr="00FE26D9" w:rsidRDefault="00FE26D9" w:rsidP="006D1AB7">
            <w:pPr>
              <w:pStyle w:val="NoSpacing"/>
              <w:rPr>
                <w:color w:val="000000"/>
                <w:lang w:val="en-IN" w:eastAsia="en-IN"/>
              </w:rPr>
            </w:pPr>
            <w:r w:rsidRPr="00FE26D9">
              <w:rPr>
                <w:color w:val="000000"/>
                <w:lang w:val="en-IN" w:eastAsia="en-IN"/>
              </w:rPr>
              <w:t>213.33</w:t>
            </w:r>
          </w:p>
        </w:tc>
      </w:tr>
      <w:tr w:rsidR="00CB42B7" w:rsidRPr="00FE26D9" w14:paraId="5DE083C3"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76DB5C50" w14:textId="410288EA" w:rsidR="00FE26D9" w:rsidRPr="00CB42B7" w:rsidRDefault="00FE26D9" w:rsidP="006D1AB7">
            <w:pPr>
              <w:pStyle w:val="NoSpacing"/>
              <w:rPr>
                <w:color w:val="000000"/>
                <w:lang w:val="en-IN" w:eastAsia="en-IN"/>
              </w:rPr>
            </w:pPr>
            <w:r w:rsidRPr="00CB42B7">
              <w:rPr>
                <w:color w:val="000000"/>
                <w:lang w:val="en-IN" w:eastAsia="en-IN"/>
              </w:rPr>
              <w:t xml:space="preserve">PM25 </w:t>
            </w:r>
            <w:r w:rsidR="00B547DC">
              <w:rPr>
                <w:color w:val="000000"/>
                <w:lang w:val="en-IN" w:eastAsia="en-IN"/>
              </w:rPr>
              <w:t xml:space="preserve">previous </w:t>
            </w:r>
            <w:r w:rsidRPr="00CB42B7">
              <w:rPr>
                <w:color w:val="000000"/>
                <w:lang w:val="en-IN" w:eastAsia="en-IN"/>
              </w:rPr>
              <w:t xml:space="preserve">3 </w:t>
            </w:r>
            <w:proofErr w:type="gramStart"/>
            <w:r w:rsidRPr="00CB42B7">
              <w:rPr>
                <w:color w:val="000000"/>
                <w:lang w:val="en-IN" w:eastAsia="en-IN"/>
              </w:rPr>
              <w:t>week</w:t>
            </w:r>
            <w:proofErr w:type="gramEnd"/>
            <w:r w:rsidRPr="00CB42B7">
              <w:rPr>
                <w:color w:val="000000"/>
                <w:lang w:val="en-IN" w:eastAsia="en-IN"/>
              </w:rPr>
              <w:t xml:space="preserve"> </w:t>
            </w:r>
            <w:r w:rsidR="00C958FD" w:rsidRPr="00CB42B7">
              <w:rPr>
                <w:color w:val="000000"/>
                <w:lang w:val="en-IN" w:eastAsia="en-IN"/>
              </w:rPr>
              <w:t>(</w:t>
            </w:r>
            <m:oMath>
              <m:r>
                <w:rPr>
                  <w:rFonts w:ascii="Cambria Math" w:hAnsi="Cambria Math"/>
                  <w:color w:val="000000"/>
                  <w:lang w:val="en-IN" w:eastAsia="en-IN"/>
                </w:rPr>
                <m:t>μ/</m:t>
              </m:r>
              <m:sSup>
                <m:sSupPr>
                  <m:ctrlPr>
                    <w:rPr>
                      <w:rFonts w:ascii="Cambria Math" w:hAnsi="Cambria Math"/>
                      <w:i/>
                      <w:color w:val="000000"/>
                      <w:lang w:val="en-IN" w:eastAsia="en-IN"/>
                    </w:rPr>
                  </m:ctrlPr>
                </m:sSupPr>
                <m:e>
                  <m:r>
                    <w:rPr>
                      <w:rFonts w:ascii="Cambria Math" w:hAnsi="Cambria Math"/>
                      <w:color w:val="000000"/>
                      <w:lang w:val="en-IN" w:eastAsia="en-IN"/>
                    </w:rPr>
                    <m:t>m</m:t>
                  </m:r>
                </m:e>
                <m:sup>
                  <m:r>
                    <w:rPr>
                      <w:rFonts w:ascii="Cambria Math" w:hAnsi="Cambria Math"/>
                      <w:color w:val="000000"/>
                      <w:lang w:val="en-IN" w:eastAsia="en-IN"/>
                    </w:rPr>
                    <m:t>3</m:t>
                  </m:r>
                </m:sup>
              </m:sSup>
            </m:oMath>
            <w:r w:rsidR="00C958FD" w:rsidRPr="00CB42B7">
              <w:rPr>
                <w:color w:val="000000"/>
                <w:lang w:val="en-IN" w:eastAsia="en-IN"/>
              </w:rPr>
              <w:t>)</w:t>
            </w:r>
          </w:p>
        </w:tc>
        <w:tc>
          <w:tcPr>
            <w:tcW w:w="1417" w:type="dxa"/>
            <w:tcBorders>
              <w:top w:val="nil"/>
              <w:left w:val="nil"/>
              <w:bottom w:val="nil"/>
              <w:right w:val="nil"/>
            </w:tcBorders>
            <w:shd w:val="clear" w:color="auto" w:fill="auto"/>
            <w:noWrap/>
            <w:vAlign w:val="bottom"/>
            <w:hideMark/>
          </w:tcPr>
          <w:p w14:paraId="5871546F" w14:textId="7B5F8726" w:rsidR="00FE26D9" w:rsidRPr="00CB42B7" w:rsidRDefault="00FE26D9" w:rsidP="006D1AB7">
            <w:pPr>
              <w:pStyle w:val="NoSpacing"/>
              <w:rPr>
                <w:color w:val="000000"/>
                <w:lang w:val="en-IN" w:eastAsia="en-IN"/>
              </w:rPr>
            </w:pPr>
            <w:r w:rsidRPr="00CB42B7">
              <w:rPr>
                <w:color w:val="000000"/>
                <w:lang w:val="en-IN" w:eastAsia="en-IN"/>
              </w:rPr>
              <w:t xml:space="preserve">  </w:t>
            </w:r>
            <w:r w:rsidR="00CB42B7">
              <w:rPr>
                <w:color w:val="000000"/>
                <w:lang w:val="en-IN" w:eastAsia="en-IN"/>
              </w:rPr>
              <w:t xml:space="preserve"> </w:t>
            </w:r>
            <w:r w:rsidRPr="00CB42B7">
              <w:rPr>
                <w:color w:val="000000"/>
                <w:lang w:val="en-IN" w:eastAsia="en-IN"/>
              </w:rPr>
              <w:t>2,109</w:t>
            </w:r>
          </w:p>
        </w:tc>
        <w:tc>
          <w:tcPr>
            <w:tcW w:w="831" w:type="dxa"/>
            <w:tcBorders>
              <w:top w:val="nil"/>
              <w:left w:val="nil"/>
              <w:bottom w:val="nil"/>
              <w:right w:val="nil"/>
            </w:tcBorders>
            <w:shd w:val="clear" w:color="auto" w:fill="auto"/>
            <w:noWrap/>
            <w:vAlign w:val="bottom"/>
            <w:hideMark/>
          </w:tcPr>
          <w:p w14:paraId="0EC10B68" w14:textId="77777777" w:rsidR="00FE26D9" w:rsidRPr="00CB42B7" w:rsidRDefault="00FE26D9" w:rsidP="006D1AB7">
            <w:pPr>
              <w:pStyle w:val="NoSpacing"/>
              <w:rPr>
                <w:color w:val="000000"/>
                <w:lang w:val="en-IN" w:eastAsia="en-IN"/>
              </w:rPr>
            </w:pPr>
            <w:r w:rsidRPr="00CB42B7">
              <w:rPr>
                <w:color w:val="000000"/>
                <w:lang w:val="en-IN" w:eastAsia="en-IN"/>
              </w:rPr>
              <w:t>141.93</w:t>
            </w:r>
          </w:p>
        </w:tc>
        <w:tc>
          <w:tcPr>
            <w:tcW w:w="1082" w:type="dxa"/>
            <w:gridSpan w:val="2"/>
            <w:tcBorders>
              <w:top w:val="nil"/>
              <w:left w:val="nil"/>
              <w:bottom w:val="nil"/>
              <w:right w:val="nil"/>
            </w:tcBorders>
            <w:shd w:val="clear" w:color="auto" w:fill="auto"/>
            <w:noWrap/>
            <w:vAlign w:val="bottom"/>
            <w:hideMark/>
          </w:tcPr>
          <w:p w14:paraId="1EDF4988" w14:textId="77777777" w:rsidR="00FE26D9" w:rsidRPr="00CB42B7" w:rsidRDefault="00FE26D9" w:rsidP="006D1AB7">
            <w:pPr>
              <w:pStyle w:val="NoSpacing"/>
              <w:rPr>
                <w:color w:val="000000"/>
                <w:lang w:val="en-IN" w:eastAsia="en-IN"/>
              </w:rPr>
            </w:pPr>
            <w:r w:rsidRPr="00CB42B7">
              <w:rPr>
                <w:color w:val="000000"/>
                <w:lang w:val="en-IN" w:eastAsia="en-IN"/>
              </w:rPr>
              <w:t>84.47</w:t>
            </w:r>
          </w:p>
        </w:tc>
        <w:tc>
          <w:tcPr>
            <w:tcW w:w="720" w:type="dxa"/>
            <w:tcBorders>
              <w:top w:val="nil"/>
              <w:left w:val="nil"/>
              <w:bottom w:val="nil"/>
              <w:right w:val="nil"/>
            </w:tcBorders>
            <w:shd w:val="clear" w:color="auto" w:fill="auto"/>
            <w:noWrap/>
            <w:vAlign w:val="bottom"/>
            <w:hideMark/>
          </w:tcPr>
          <w:p w14:paraId="7714BB72" w14:textId="77777777" w:rsidR="00FE26D9" w:rsidRPr="00CB42B7" w:rsidRDefault="00FE26D9" w:rsidP="006D1AB7">
            <w:pPr>
              <w:pStyle w:val="NoSpacing"/>
              <w:rPr>
                <w:color w:val="000000"/>
                <w:lang w:val="en-IN" w:eastAsia="en-IN"/>
              </w:rPr>
            </w:pPr>
            <w:r w:rsidRPr="00CB42B7">
              <w:rPr>
                <w:color w:val="000000"/>
                <w:lang w:val="en-IN" w:eastAsia="en-IN"/>
              </w:rPr>
              <w:t>32.54</w:t>
            </w:r>
          </w:p>
        </w:tc>
        <w:tc>
          <w:tcPr>
            <w:tcW w:w="831" w:type="dxa"/>
            <w:tcBorders>
              <w:top w:val="nil"/>
              <w:left w:val="nil"/>
              <w:bottom w:val="nil"/>
              <w:right w:val="nil"/>
            </w:tcBorders>
            <w:shd w:val="clear" w:color="auto" w:fill="auto"/>
            <w:noWrap/>
            <w:vAlign w:val="bottom"/>
            <w:hideMark/>
          </w:tcPr>
          <w:p w14:paraId="71680AD5" w14:textId="77777777" w:rsidR="00FE26D9" w:rsidRPr="00CB42B7" w:rsidRDefault="00FE26D9" w:rsidP="006D1AB7">
            <w:pPr>
              <w:pStyle w:val="NoSpacing"/>
              <w:rPr>
                <w:color w:val="000000"/>
                <w:lang w:val="en-IN" w:eastAsia="en-IN"/>
              </w:rPr>
            </w:pPr>
            <w:r w:rsidRPr="00CB42B7">
              <w:rPr>
                <w:color w:val="000000"/>
                <w:lang w:val="en-IN" w:eastAsia="en-IN"/>
              </w:rPr>
              <w:t>337.02</w:t>
            </w:r>
          </w:p>
        </w:tc>
        <w:tc>
          <w:tcPr>
            <w:tcW w:w="1147" w:type="dxa"/>
            <w:gridSpan w:val="2"/>
            <w:tcBorders>
              <w:top w:val="nil"/>
              <w:left w:val="nil"/>
              <w:bottom w:val="nil"/>
              <w:right w:val="nil"/>
            </w:tcBorders>
            <w:shd w:val="clear" w:color="auto" w:fill="auto"/>
            <w:noWrap/>
            <w:vAlign w:val="bottom"/>
            <w:hideMark/>
          </w:tcPr>
          <w:p w14:paraId="3F74887D" w14:textId="77777777" w:rsidR="00FE26D9" w:rsidRPr="00CB42B7" w:rsidRDefault="00FE26D9" w:rsidP="006D1AB7">
            <w:pPr>
              <w:pStyle w:val="NoSpacing"/>
              <w:rPr>
                <w:color w:val="000000"/>
                <w:lang w:val="en-IN" w:eastAsia="en-IN"/>
              </w:rPr>
            </w:pPr>
            <w:r w:rsidRPr="00CB42B7">
              <w:rPr>
                <w:color w:val="000000"/>
                <w:lang w:val="en-IN" w:eastAsia="en-IN"/>
              </w:rPr>
              <w:t>64.58</w:t>
            </w:r>
          </w:p>
        </w:tc>
        <w:tc>
          <w:tcPr>
            <w:tcW w:w="1048" w:type="dxa"/>
            <w:tcBorders>
              <w:top w:val="nil"/>
              <w:left w:val="nil"/>
              <w:bottom w:val="nil"/>
              <w:right w:val="nil"/>
            </w:tcBorders>
            <w:shd w:val="clear" w:color="auto" w:fill="auto"/>
            <w:noWrap/>
            <w:vAlign w:val="bottom"/>
            <w:hideMark/>
          </w:tcPr>
          <w:p w14:paraId="74A4E7AB" w14:textId="77777777" w:rsidR="00FE26D9" w:rsidRPr="00FE26D9" w:rsidRDefault="00FE26D9" w:rsidP="006D1AB7">
            <w:pPr>
              <w:pStyle w:val="NoSpacing"/>
              <w:rPr>
                <w:color w:val="000000"/>
                <w:lang w:val="en-IN" w:eastAsia="en-IN"/>
              </w:rPr>
            </w:pPr>
            <w:r w:rsidRPr="00FE26D9">
              <w:rPr>
                <w:color w:val="000000"/>
                <w:lang w:val="en-IN" w:eastAsia="en-IN"/>
              </w:rPr>
              <w:t>117.69</w:t>
            </w:r>
          </w:p>
        </w:tc>
        <w:tc>
          <w:tcPr>
            <w:tcW w:w="1240" w:type="dxa"/>
            <w:tcBorders>
              <w:top w:val="nil"/>
              <w:left w:val="nil"/>
              <w:bottom w:val="nil"/>
              <w:right w:val="nil"/>
            </w:tcBorders>
            <w:shd w:val="clear" w:color="auto" w:fill="auto"/>
            <w:noWrap/>
            <w:vAlign w:val="bottom"/>
            <w:hideMark/>
          </w:tcPr>
          <w:p w14:paraId="7558772A" w14:textId="77777777" w:rsidR="00FE26D9" w:rsidRPr="00FE26D9" w:rsidRDefault="00FE26D9" w:rsidP="006D1AB7">
            <w:pPr>
              <w:pStyle w:val="NoSpacing"/>
              <w:rPr>
                <w:color w:val="000000"/>
                <w:lang w:val="en-IN" w:eastAsia="en-IN"/>
              </w:rPr>
            </w:pPr>
            <w:r w:rsidRPr="00FE26D9">
              <w:rPr>
                <w:color w:val="000000"/>
                <w:lang w:val="en-IN" w:eastAsia="en-IN"/>
              </w:rPr>
              <w:t>213.73</w:t>
            </w:r>
          </w:p>
        </w:tc>
      </w:tr>
      <w:tr w:rsidR="00CB42B7" w:rsidRPr="00FE26D9" w14:paraId="49247BA5"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092BB346" w14:textId="77777777" w:rsidR="00FE26D9" w:rsidRPr="00CB42B7" w:rsidRDefault="00FE26D9" w:rsidP="006D1AB7">
            <w:pPr>
              <w:pStyle w:val="NoSpacing"/>
              <w:rPr>
                <w:color w:val="000000"/>
                <w:lang w:val="en-IN" w:eastAsia="en-IN"/>
              </w:rPr>
            </w:pPr>
            <w:r w:rsidRPr="00CB42B7">
              <w:rPr>
                <w:color w:val="000000"/>
                <w:lang w:val="en-IN" w:eastAsia="en-IN"/>
              </w:rPr>
              <w:t>Temperature (</w:t>
            </w:r>
            <w:proofErr w:type="spellStart"/>
            <w:r w:rsidRPr="00CB42B7">
              <w:rPr>
                <w:color w:val="000000"/>
                <w:lang w:val="en-IN" w:eastAsia="en-IN"/>
              </w:rPr>
              <w:t>celcius</w:t>
            </w:r>
            <w:proofErr w:type="spellEnd"/>
            <w:r w:rsidRPr="00CB42B7">
              <w:rPr>
                <w:color w:val="000000"/>
                <w:lang w:val="en-IN" w:eastAsia="en-IN"/>
              </w:rPr>
              <w:t>)</w:t>
            </w:r>
          </w:p>
        </w:tc>
        <w:tc>
          <w:tcPr>
            <w:tcW w:w="1417" w:type="dxa"/>
            <w:tcBorders>
              <w:top w:val="nil"/>
              <w:left w:val="nil"/>
              <w:bottom w:val="nil"/>
              <w:right w:val="nil"/>
            </w:tcBorders>
            <w:shd w:val="clear" w:color="auto" w:fill="auto"/>
            <w:noWrap/>
            <w:vAlign w:val="bottom"/>
            <w:hideMark/>
          </w:tcPr>
          <w:p w14:paraId="6C893954" w14:textId="1AD0A3E9" w:rsidR="00FE26D9" w:rsidRPr="00CB42B7" w:rsidRDefault="00FE26D9" w:rsidP="006D1AB7">
            <w:pPr>
              <w:pStyle w:val="NoSpacing"/>
              <w:rPr>
                <w:color w:val="000000"/>
                <w:lang w:val="en-IN" w:eastAsia="en-IN"/>
              </w:rPr>
            </w:pPr>
            <w:r w:rsidRPr="00CB42B7">
              <w:rPr>
                <w:color w:val="000000"/>
                <w:lang w:val="en-IN" w:eastAsia="en-IN"/>
              </w:rPr>
              <w:t xml:space="preserve">  </w:t>
            </w:r>
            <w:r w:rsidR="00CB42B7">
              <w:rPr>
                <w:color w:val="000000"/>
                <w:lang w:val="en-IN" w:eastAsia="en-IN"/>
              </w:rPr>
              <w:t xml:space="preserve"> </w:t>
            </w:r>
            <w:r w:rsidRPr="00CB42B7">
              <w:rPr>
                <w:color w:val="000000"/>
                <w:lang w:val="en-IN" w:eastAsia="en-IN"/>
              </w:rPr>
              <w:t>9,427</w:t>
            </w:r>
          </w:p>
        </w:tc>
        <w:tc>
          <w:tcPr>
            <w:tcW w:w="831" w:type="dxa"/>
            <w:tcBorders>
              <w:top w:val="nil"/>
              <w:left w:val="nil"/>
              <w:bottom w:val="nil"/>
              <w:right w:val="nil"/>
            </w:tcBorders>
            <w:shd w:val="clear" w:color="auto" w:fill="auto"/>
            <w:noWrap/>
            <w:vAlign w:val="bottom"/>
            <w:hideMark/>
          </w:tcPr>
          <w:p w14:paraId="67692E7E" w14:textId="77777777" w:rsidR="00FE26D9" w:rsidRPr="00CB42B7" w:rsidRDefault="00FE26D9" w:rsidP="006D1AB7">
            <w:pPr>
              <w:pStyle w:val="NoSpacing"/>
              <w:rPr>
                <w:color w:val="000000"/>
                <w:lang w:val="en-IN" w:eastAsia="en-IN"/>
              </w:rPr>
            </w:pPr>
            <w:r w:rsidRPr="00CB42B7">
              <w:rPr>
                <w:color w:val="000000"/>
                <w:lang w:val="en-IN" w:eastAsia="en-IN"/>
              </w:rPr>
              <w:t>19.66</w:t>
            </w:r>
          </w:p>
        </w:tc>
        <w:tc>
          <w:tcPr>
            <w:tcW w:w="1082" w:type="dxa"/>
            <w:gridSpan w:val="2"/>
            <w:tcBorders>
              <w:top w:val="nil"/>
              <w:left w:val="nil"/>
              <w:bottom w:val="nil"/>
              <w:right w:val="nil"/>
            </w:tcBorders>
            <w:shd w:val="clear" w:color="auto" w:fill="auto"/>
            <w:noWrap/>
            <w:vAlign w:val="bottom"/>
            <w:hideMark/>
          </w:tcPr>
          <w:p w14:paraId="49299607" w14:textId="77777777" w:rsidR="00FE26D9" w:rsidRPr="00CB42B7" w:rsidRDefault="00FE26D9" w:rsidP="006D1AB7">
            <w:pPr>
              <w:pStyle w:val="NoSpacing"/>
              <w:rPr>
                <w:color w:val="000000"/>
                <w:lang w:val="en-IN" w:eastAsia="en-IN"/>
              </w:rPr>
            </w:pPr>
            <w:r w:rsidRPr="00CB42B7">
              <w:rPr>
                <w:color w:val="000000"/>
                <w:lang w:val="en-IN" w:eastAsia="en-IN"/>
              </w:rPr>
              <w:t>4.67</w:t>
            </w:r>
          </w:p>
        </w:tc>
        <w:tc>
          <w:tcPr>
            <w:tcW w:w="720" w:type="dxa"/>
            <w:tcBorders>
              <w:top w:val="nil"/>
              <w:left w:val="nil"/>
              <w:bottom w:val="nil"/>
              <w:right w:val="nil"/>
            </w:tcBorders>
            <w:shd w:val="clear" w:color="auto" w:fill="auto"/>
            <w:noWrap/>
            <w:vAlign w:val="bottom"/>
            <w:hideMark/>
          </w:tcPr>
          <w:p w14:paraId="5B6D66DA" w14:textId="77777777" w:rsidR="00FE26D9" w:rsidRPr="00CB42B7" w:rsidRDefault="00FE26D9" w:rsidP="006D1AB7">
            <w:pPr>
              <w:pStyle w:val="NoSpacing"/>
              <w:rPr>
                <w:color w:val="000000"/>
                <w:lang w:val="en-IN" w:eastAsia="en-IN"/>
              </w:rPr>
            </w:pPr>
            <w:r w:rsidRPr="00CB42B7">
              <w:rPr>
                <w:color w:val="000000"/>
                <w:lang w:val="en-IN" w:eastAsia="en-IN"/>
              </w:rPr>
              <w:t>7.12</w:t>
            </w:r>
          </w:p>
        </w:tc>
        <w:tc>
          <w:tcPr>
            <w:tcW w:w="831" w:type="dxa"/>
            <w:tcBorders>
              <w:top w:val="nil"/>
              <w:left w:val="nil"/>
              <w:bottom w:val="nil"/>
              <w:right w:val="nil"/>
            </w:tcBorders>
            <w:shd w:val="clear" w:color="auto" w:fill="auto"/>
            <w:noWrap/>
            <w:vAlign w:val="bottom"/>
            <w:hideMark/>
          </w:tcPr>
          <w:p w14:paraId="0F0FB102" w14:textId="77777777" w:rsidR="00FE26D9" w:rsidRPr="00CB42B7" w:rsidRDefault="00FE26D9" w:rsidP="006D1AB7">
            <w:pPr>
              <w:pStyle w:val="NoSpacing"/>
              <w:rPr>
                <w:color w:val="000000"/>
                <w:lang w:val="en-IN" w:eastAsia="en-IN"/>
              </w:rPr>
            </w:pPr>
            <w:r w:rsidRPr="00CB42B7">
              <w:rPr>
                <w:color w:val="000000"/>
                <w:lang w:val="en-IN" w:eastAsia="en-IN"/>
              </w:rPr>
              <w:t>27.63</w:t>
            </w:r>
          </w:p>
        </w:tc>
        <w:tc>
          <w:tcPr>
            <w:tcW w:w="1147" w:type="dxa"/>
            <w:gridSpan w:val="2"/>
            <w:tcBorders>
              <w:top w:val="nil"/>
              <w:left w:val="nil"/>
              <w:bottom w:val="nil"/>
              <w:right w:val="nil"/>
            </w:tcBorders>
            <w:shd w:val="clear" w:color="auto" w:fill="auto"/>
            <w:noWrap/>
            <w:vAlign w:val="bottom"/>
            <w:hideMark/>
          </w:tcPr>
          <w:p w14:paraId="68065E35" w14:textId="77777777" w:rsidR="00FE26D9" w:rsidRPr="00CB42B7" w:rsidRDefault="00FE26D9" w:rsidP="006D1AB7">
            <w:pPr>
              <w:pStyle w:val="NoSpacing"/>
              <w:rPr>
                <w:color w:val="000000"/>
                <w:lang w:val="en-IN" w:eastAsia="en-IN"/>
              </w:rPr>
            </w:pPr>
            <w:r w:rsidRPr="00CB42B7">
              <w:rPr>
                <w:color w:val="000000"/>
                <w:lang w:val="en-IN" w:eastAsia="en-IN"/>
              </w:rPr>
              <w:t>15.93</w:t>
            </w:r>
          </w:p>
        </w:tc>
        <w:tc>
          <w:tcPr>
            <w:tcW w:w="1048" w:type="dxa"/>
            <w:tcBorders>
              <w:top w:val="nil"/>
              <w:left w:val="nil"/>
              <w:bottom w:val="nil"/>
              <w:right w:val="nil"/>
            </w:tcBorders>
            <w:shd w:val="clear" w:color="auto" w:fill="auto"/>
            <w:noWrap/>
            <w:vAlign w:val="bottom"/>
            <w:hideMark/>
          </w:tcPr>
          <w:p w14:paraId="57591834" w14:textId="77777777" w:rsidR="00FE26D9" w:rsidRPr="00FE26D9" w:rsidRDefault="00FE26D9" w:rsidP="006D1AB7">
            <w:pPr>
              <w:pStyle w:val="NoSpacing"/>
              <w:rPr>
                <w:color w:val="000000"/>
                <w:lang w:val="en-IN" w:eastAsia="en-IN"/>
              </w:rPr>
            </w:pPr>
            <w:r w:rsidRPr="00FE26D9">
              <w:rPr>
                <w:color w:val="000000"/>
                <w:lang w:val="en-IN" w:eastAsia="en-IN"/>
              </w:rPr>
              <w:t>20.05</w:t>
            </w:r>
          </w:p>
        </w:tc>
        <w:tc>
          <w:tcPr>
            <w:tcW w:w="1240" w:type="dxa"/>
            <w:tcBorders>
              <w:top w:val="nil"/>
              <w:left w:val="nil"/>
              <w:bottom w:val="nil"/>
              <w:right w:val="nil"/>
            </w:tcBorders>
            <w:shd w:val="clear" w:color="auto" w:fill="auto"/>
            <w:noWrap/>
            <w:vAlign w:val="bottom"/>
            <w:hideMark/>
          </w:tcPr>
          <w:p w14:paraId="100273E3" w14:textId="77777777" w:rsidR="00FE26D9" w:rsidRPr="00FE26D9" w:rsidRDefault="00FE26D9" w:rsidP="006D1AB7">
            <w:pPr>
              <w:pStyle w:val="NoSpacing"/>
              <w:rPr>
                <w:color w:val="000000"/>
                <w:lang w:val="en-IN" w:eastAsia="en-IN"/>
              </w:rPr>
            </w:pPr>
            <w:r w:rsidRPr="00FE26D9">
              <w:rPr>
                <w:color w:val="000000"/>
                <w:lang w:val="en-IN" w:eastAsia="en-IN"/>
              </w:rPr>
              <w:t>23.76</w:t>
            </w:r>
          </w:p>
        </w:tc>
      </w:tr>
      <w:tr w:rsidR="00CB42B7" w:rsidRPr="00FE26D9" w14:paraId="6A5ED269" w14:textId="77777777" w:rsidTr="006D1AB7">
        <w:trPr>
          <w:trHeight w:val="290"/>
          <w:jc w:val="center"/>
        </w:trPr>
        <w:tc>
          <w:tcPr>
            <w:tcW w:w="3113" w:type="dxa"/>
            <w:gridSpan w:val="3"/>
            <w:tcBorders>
              <w:top w:val="nil"/>
              <w:left w:val="nil"/>
              <w:bottom w:val="nil"/>
              <w:right w:val="nil"/>
            </w:tcBorders>
            <w:shd w:val="clear" w:color="auto" w:fill="auto"/>
            <w:noWrap/>
            <w:vAlign w:val="bottom"/>
            <w:hideMark/>
          </w:tcPr>
          <w:p w14:paraId="17A83AEA" w14:textId="77777777" w:rsidR="00FE26D9" w:rsidRPr="00CB42B7" w:rsidRDefault="00FE26D9" w:rsidP="006D1AB7">
            <w:pPr>
              <w:pStyle w:val="NoSpacing"/>
              <w:rPr>
                <w:color w:val="000000"/>
                <w:lang w:val="en-IN" w:eastAsia="en-IN"/>
              </w:rPr>
            </w:pPr>
            <w:r w:rsidRPr="00CB42B7">
              <w:rPr>
                <w:color w:val="000000"/>
                <w:lang w:val="en-IN" w:eastAsia="en-IN"/>
              </w:rPr>
              <w:t>Rainfall (mm)</w:t>
            </w:r>
          </w:p>
        </w:tc>
        <w:tc>
          <w:tcPr>
            <w:tcW w:w="1417" w:type="dxa"/>
            <w:tcBorders>
              <w:top w:val="nil"/>
              <w:left w:val="nil"/>
              <w:bottom w:val="nil"/>
              <w:right w:val="nil"/>
            </w:tcBorders>
            <w:shd w:val="clear" w:color="auto" w:fill="auto"/>
            <w:noWrap/>
            <w:vAlign w:val="bottom"/>
            <w:hideMark/>
          </w:tcPr>
          <w:p w14:paraId="2BE8F1E9" w14:textId="512CD2B9" w:rsidR="00FE26D9" w:rsidRPr="00CB42B7" w:rsidRDefault="00FE26D9" w:rsidP="006D1AB7">
            <w:pPr>
              <w:pStyle w:val="NoSpacing"/>
              <w:rPr>
                <w:color w:val="000000"/>
                <w:lang w:val="en-IN" w:eastAsia="en-IN"/>
              </w:rPr>
            </w:pPr>
            <w:r w:rsidRPr="00CB42B7">
              <w:rPr>
                <w:color w:val="000000"/>
                <w:lang w:val="en-IN" w:eastAsia="en-IN"/>
              </w:rPr>
              <w:t xml:space="preserve">  </w:t>
            </w:r>
            <w:r w:rsidR="00CB42B7">
              <w:rPr>
                <w:color w:val="000000"/>
                <w:lang w:val="en-IN" w:eastAsia="en-IN"/>
              </w:rPr>
              <w:t xml:space="preserve"> </w:t>
            </w:r>
            <w:r w:rsidRPr="00CB42B7">
              <w:rPr>
                <w:color w:val="000000"/>
                <w:lang w:val="en-IN" w:eastAsia="en-IN"/>
              </w:rPr>
              <w:t>9,427</w:t>
            </w:r>
          </w:p>
        </w:tc>
        <w:tc>
          <w:tcPr>
            <w:tcW w:w="831" w:type="dxa"/>
            <w:tcBorders>
              <w:top w:val="nil"/>
              <w:left w:val="nil"/>
              <w:bottom w:val="nil"/>
              <w:right w:val="nil"/>
            </w:tcBorders>
            <w:shd w:val="clear" w:color="auto" w:fill="auto"/>
            <w:noWrap/>
            <w:vAlign w:val="bottom"/>
            <w:hideMark/>
          </w:tcPr>
          <w:p w14:paraId="22953563" w14:textId="77777777" w:rsidR="00FE26D9" w:rsidRPr="00CB42B7" w:rsidRDefault="00FE26D9" w:rsidP="006D1AB7">
            <w:pPr>
              <w:pStyle w:val="NoSpacing"/>
              <w:rPr>
                <w:color w:val="000000"/>
                <w:lang w:val="en-IN" w:eastAsia="en-IN"/>
              </w:rPr>
            </w:pPr>
            <w:r w:rsidRPr="00CB42B7">
              <w:rPr>
                <w:color w:val="000000"/>
                <w:lang w:val="en-IN" w:eastAsia="en-IN"/>
              </w:rPr>
              <w:t>1.78</w:t>
            </w:r>
          </w:p>
        </w:tc>
        <w:tc>
          <w:tcPr>
            <w:tcW w:w="1082" w:type="dxa"/>
            <w:gridSpan w:val="2"/>
            <w:tcBorders>
              <w:top w:val="nil"/>
              <w:left w:val="nil"/>
              <w:bottom w:val="nil"/>
              <w:right w:val="nil"/>
            </w:tcBorders>
            <w:shd w:val="clear" w:color="auto" w:fill="auto"/>
            <w:noWrap/>
            <w:vAlign w:val="bottom"/>
            <w:hideMark/>
          </w:tcPr>
          <w:p w14:paraId="512DE437" w14:textId="77777777" w:rsidR="00FE26D9" w:rsidRPr="00CB42B7" w:rsidRDefault="00FE26D9" w:rsidP="006D1AB7">
            <w:pPr>
              <w:pStyle w:val="NoSpacing"/>
              <w:rPr>
                <w:color w:val="000000"/>
                <w:lang w:val="en-IN" w:eastAsia="en-IN"/>
              </w:rPr>
            </w:pPr>
            <w:r w:rsidRPr="00CB42B7">
              <w:rPr>
                <w:color w:val="000000"/>
                <w:lang w:val="en-IN" w:eastAsia="en-IN"/>
              </w:rPr>
              <w:t>2.89</w:t>
            </w:r>
          </w:p>
        </w:tc>
        <w:tc>
          <w:tcPr>
            <w:tcW w:w="720" w:type="dxa"/>
            <w:tcBorders>
              <w:top w:val="nil"/>
              <w:left w:val="nil"/>
              <w:bottom w:val="nil"/>
              <w:right w:val="nil"/>
            </w:tcBorders>
            <w:shd w:val="clear" w:color="auto" w:fill="auto"/>
            <w:noWrap/>
            <w:vAlign w:val="bottom"/>
            <w:hideMark/>
          </w:tcPr>
          <w:p w14:paraId="6898F63B" w14:textId="77777777" w:rsidR="00FE26D9" w:rsidRPr="00CB42B7" w:rsidRDefault="00FE26D9" w:rsidP="006D1AB7">
            <w:pPr>
              <w:pStyle w:val="NoSpacing"/>
              <w:rPr>
                <w:color w:val="000000"/>
                <w:lang w:val="en-IN" w:eastAsia="en-IN"/>
              </w:rPr>
            </w:pPr>
            <w:r w:rsidRPr="00CB42B7">
              <w:rPr>
                <w:color w:val="000000"/>
                <w:lang w:val="en-IN" w:eastAsia="en-IN"/>
              </w:rPr>
              <w:t>0.00</w:t>
            </w:r>
          </w:p>
        </w:tc>
        <w:tc>
          <w:tcPr>
            <w:tcW w:w="831" w:type="dxa"/>
            <w:tcBorders>
              <w:top w:val="nil"/>
              <w:left w:val="nil"/>
              <w:bottom w:val="nil"/>
              <w:right w:val="nil"/>
            </w:tcBorders>
            <w:shd w:val="clear" w:color="auto" w:fill="auto"/>
            <w:noWrap/>
            <w:vAlign w:val="bottom"/>
            <w:hideMark/>
          </w:tcPr>
          <w:p w14:paraId="4F2B36FC" w14:textId="77777777" w:rsidR="00FE26D9" w:rsidRPr="00CB42B7" w:rsidRDefault="00FE26D9" w:rsidP="006D1AB7">
            <w:pPr>
              <w:pStyle w:val="NoSpacing"/>
              <w:rPr>
                <w:color w:val="000000"/>
                <w:lang w:val="en-IN" w:eastAsia="en-IN"/>
              </w:rPr>
            </w:pPr>
            <w:r w:rsidRPr="00CB42B7">
              <w:rPr>
                <w:color w:val="000000"/>
                <w:lang w:val="en-IN" w:eastAsia="en-IN"/>
              </w:rPr>
              <w:t>31.04</w:t>
            </w:r>
          </w:p>
        </w:tc>
        <w:tc>
          <w:tcPr>
            <w:tcW w:w="1147" w:type="dxa"/>
            <w:gridSpan w:val="2"/>
            <w:tcBorders>
              <w:top w:val="nil"/>
              <w:left w:val="nil"/>
              <w:bottom w:val="nil"/>
              <w:right w:val="nil"/>
            </w:tcBorders>
            <w:shd w:val="clear" w:color="auto" w:fill="auto"/>
            <w:noWrap/>
            <w:vAlign w:val="bottom"/>
            <w:hideMark/>
          </w:tcPr>
          <w:p w14:paraId="47E93D8F" w14:textId="77777777" w:rsidR="00FE26D9" w:rsidRPr="00CB42B7" w:rsidRDefault="00FE26D9" w:rsidP="006D1AB7">
            <w:pPr>
              <w:pStyle w:val="NoSpacing"/>
              <w:rPr>
                <w:color w:val="000000"/>
                <w:lang w:val="en-IN" w:eastAsia="en-IN"/>
              </w:rPr>
            </w:pPr>
            <w:r w:rsidRPr="00CB42B7">
              <w:rPr>
                <w:color w:val="000000"/>
                <w:lang w:val="en-IN" w:eastAsia="en-IN"/>
              </w:rPr>
              <w:t>0.06</w:t>
            </w:r>
          </w:p>
        </w:tc>
        <w:tc>
          <w:tcPr>
            <w:tcW w:w="1048" w:type="dxa"/>
            <w:tcBorders>
              <w:top w:val="nil"/>
              <w:left w:val="nil"/>
              <w:bottom w:val="nil"/>
              <w:right w:val="nil"/>
            </w:tcBorders>
            <w:shd w:val="clear" w:color="auto" w:fill="auto"/>
            <w:noWrap/>
            <w:vAlign w:val="bottom"/>
            <w:hideMark/>
          </w:tcPr>
          <w:p w14:paraId="59EB72E3" w14:textId="77777777" w:rsidR="00FE26D9" w:rsidRPr="00FE26D9" w:rsidRDefault="00FE26D9" w:rsidP="006D1AB7">
            <w:pPr>
              <w:pStyle w:val="NoSpacing"/>
              <w:rPr>
                <w:color w:val="000000"/>
                <w:lang w:val="en-IN" w:eastAsia="en-IN"/>
              </w:rPr>
            </w:pPr>
            <w:r w:rsidRPr="00FE26D9">
              <w:rPr>
                <w:color w:val="000000"/>
                <w:lang w:val="en-IN" w:eastAsia="en-IN"/>
              </w:rPr>
              <w:t>0.50</w:t>
            </w:r>
          </w:p>
        </w:tc>
        <w:tc>
          <w:tcPr>
            <w:tcW w:w="1240" w:type="dxa"/>
            <w:tcBorders>
              <w:top w:val="nil"/>
              <w:left w:val="nil"/>
              <w:bottom w:val="nil"/>
              <w:right w:val="nil"/>
            </w:tcBorders>
            <w:shd w:val="clear" w:color="auto" w:fill="auto"/>
            <w:noWrap/>
            <w:vAlign w:val="bottom"/>
            <w:hideMark/>
          </w:tcPr>
          <w:p w14:paraId="38A3436F" w14:textId="77777777" w:rsidR="00FE26D9" w:rsidRPr="00FE26D9" w:rsidRDefault="00FE26D9" w:rsidP="006D1AB7">
            <w:pPr>
              <w:pStyle w:val="NoSpacing"/>
              <w:rPr>
                <w:color w:val="000000"/>
                <w:lang w:val="en-IN" w:eastAsia="en-IN"/>
              </w:rPr>
            </w:pPr>
            <w:r w:rsidRPr="00FE26D9">
              <w:rPr>
                <w:color w:val="000000"/>
                <w:lang w:val="en-IN" w:eastAsia="en-IN"/>
              </w:rPr>
              <w:t>2.25</w:t>
            </w:r>
          </w:p>
        </w:tc>
      </w:tr>
      <w:tr w:rsidR="00FE26D9" w:rsidRPr="00FE26D9" w14:paraId="69EC323C" w14:textId="77777777" w:rsidTr="006D1AB7">
        <w:trPr>
          <w:trHeight w:val="290"/>
          <w:jc w:val="center"/>
        </w:trPr>
        <w:tc>
          <w:tcPr>
            <w:tcW w:w="3113" w:type="dxa"/>
            <w:gridSpan w:val="3"/>
            <w:tcBorders>
              <w:top w:val="nil"/>
              <w:left w:val="nil"/>
              <w:bottom w:val="nil"/>
              <w:right w:val="nil"/>
            </w:tcBorders>
            <w:shd w:val="clear" w:color="auto" w:fill="auto"/>
            <w:noWrap/>
            <w:vAlign w:val="bottom"/>
          </w:tcPr>
          <w:p w14:paraId="5581A853" w14:textId="77777777" w:rsidR="00FE26D9" w:rsidRPr="00CB42B7" w:rsidRDefault="00FE26D9" w:rsidP="00CB42B7">
            <w:pPr>
              <w:pStyle w:val="NoSpacing"/>
              <w:rPr>
                <w:rFonts w:ascii="Aptos Narrow" w:hAnsi="Aptos Narrow"/>
                <w:color w:val="000000"/>
                <w:lang w:val="en-IN" w:eastAsia="en-IN"/>
              </w:rPr>
            </w:pPr>
          </w:p>
        </w:tc>
        <w:tc>
          <w:tcPr>
            <w:tcW w:w="1417" w:type="dxa"/>
            <w:tcBorders>
              <w:top w:val="nil"/>
              <w:left w:val="nil"/>
              <w:bottom w:val="nil"/>
              <w:right w:val="nil"/>
            </w:tcBorders>
            <w:shd w:val="clear" w:color="auto" w:fill="auto"/>
            <w:noWrap/>
            <w:vAlign w:val="bottom"/>
          </w:tcPr>
          <w:p w14:paraId="6A235D87" w14:textId="77777777" w:rsidR="00FE26D9" w:rsidRPr="00CB42B7" w:rsidRDefault="00FE26D9" w:rsidP="00CB42B7">
            <w:pPr>
              <w:pStyle w:val="NoSpacing"/>
              <w:rPr>
                <w:rFonts w:ascii="Aptos Narrow" w:hAnsi="Aptos Narrow"/>
                <w:color w:val="000000"/>
                <w:lang w:val="en-IN" w:eastAsia="en-IN"/>
              </w:rPr>
            </w:pPr>
          </w:p>
        </w:tc>
        <w:tc>
          <w:tcPr>
            <w:tcW w:w="831" w:type="dxa"/>
            <w:tcBorders>
              <w:top w:val="nil"/>
              <w:left w:val="nil"/>
              <w:bottom w:val="nil"/>
              <w:right w:val="nil"/>
            </w:tcBorders>
            <w:shd w:val="clear" w:color="auto" w:fill="auto"/>
            <w:noWrap/>
            <w:vAlign w:val="bottom"/>
          </w:tcPr>
          <w:p w14:paraId="69C7FB07" w14:textId="77777777" w:rsidR="00FE26D9" w:rsidRPr="00CB42B7" w:rsidRDefault="00FE26D9" w:rsidP="00CB42B7">
            <w:pPr>
              <w:pStyle w:val="NoSpacing"/>
              <w:rPr>
                <w:rFonts w:ascii="Aptos Narrow" w:hAnsi="Aptos Narrow"/>
                <w:color w:val="000000"/>
                <w:lang w:val="en-IN" w:eastAsia="en-IN"/>
              </w:rPr>
            </w:pPr>
          </w:p>
        </w:tc>
        <w:tc>
          <w:tcPr>
            <w:tcW w:w="1082" w:type="dxa"/>
            <w:gridSpan w:val="2"/>
            <w:tcBorders>
              <w:top w:val="nil"/>
              <w:left w:val="nil"/>
              <w:bottom w:val="nil"/>
              <w:right w:val="nil"/>
            </w:tcBorders>
            <w:shd w:val="clear" w:color="auto" w:fill="auto"/>
            <w:noWrap/>
            <w:vAlign w:val="bottom"/>
          </w:tcPr>
          <w:p w14:paraId="37F62677" w14:textId="77777777" w:rsidR="00FE26D9" w:rsidRPr="00CB42B7" w:rsidRDefault="00FE26D9" w:rsidP="00CB42B7">
            <w:pPr>
              <w:pStyle w:val="NoSpacing"/>
              <w:rPr>
                <w:rFonts w:ascii="Aptos Narrow" w:hAnsi="Aptos Narrow"/>
                <w:color w:val="000000"/>
                <w:lang w:val="en-IN" w:eastAsia="en-IN"/>
              </w:rPr>
            </w:pPr>
          </w:p>
        </w:tc>
        <w:tc>
          <w:tcPr>
            <w:tcW w:w="720" w:type="dxa"/>
            <w:tcBorders>
              <w:top w:val="nil"/>
              <w:left w:val="nil"/>
              <w:bottom w:val="nil"/>
              <w:right w:val="nil"/>
            </w:tcBorders>
            <w:shd w:val="clear" w:color="auto" w:fill="auto"/>
            <w:noWrap/>
            <w:vAlign w:val="bottom"/>
          </w:tcPr>
          <w:p w14:paraId="792E84C9" w14:textId="77777777" w:rsidR="00FE26D9" w:rsidRPr="00CB42B7" w:rsidRDefault="00FE26D9" w:rsidP="00CB42B7">
            <w:pPr>
              <w:pStyle w:val="NoSpacing"/>
              <w:rPr>
                <w:rFonts w:ascii="Aptos Narrow" w:hAnsi="Aptos Narrow"/>
                <w:color w:val="000000"/>
                <w:lang w:val="en-IN" w:eastAsia="en-IN"/>
              </w:rPr>
            </w:pPr>
          </w:p>
        </w:tc>
        <w:tc>
          <w:tcPr>
            <w:tcW w:w="831" w:type="dxa"/>
            <w:tcBorders>
              <w:top w:val="nil"/>
              <w:left w:val="nil"/>
              <w:bottom w:val="nil"/>
              <w:right w:val="nil"/>
            </w:tcBorders>
            <w:shd w:val="clear" w:color="auto" w:fill="auto"/>
            <w:noWrap/>
            <w:vAlign w:val="bottom"/>
          </w:tcPr>
          <w:p w14:paraId="08A8FFE5" w14:textId="77777777" w:rsidR="00FE26D9" w:rsidRPr="00CB42B7" w:rsidRDefault="00FE26D9" w:rsidP="00CB42B7">
            <w:pPr>
              <w:pStyle w:val="NoSpacing"/>
              <w:rPr>
                <w:rFonts w:ascii="Aptos Narrow" w:hAnsi="Aptos Narrow"/>
                <w:color w:val="000000"/>
                <w:lang w:val="en-IN" w:eastAsia="en-IN"/>
              </w:rPr>
            </w:pPr>
          </w:p>
        </w:tc>
        <w:tc>
          <w:tcPr>
            <w:tcW w:w="1147" w:type="dxa"/>
            <w:gridSpan w:val="2"/>
            <w:tcBorders>
              <w:top w:val="nil"/>
              <w:left w:val="nil"/>
              <w:bottom w:val="nil"/>
              <w:right w:val="nil"/>
            </w:tcBorders>
            <w:shd w:val="clear" w:color="auto" w:fill="auto"/>
            <w:noWrap/>
            <w:vAlign w:val="bottom"/>
          </w:tcPr>
          <w:p w14:paraId="566DA4D2" w14:textId="77777777" w:rsidR="00FE26D9" w:rsidRPr="00CB42B7" w:rsidRDefault="00FE26D9" w:rsidP="00CB42B7">
            <w:pPr>
              <w:pStyle w:val="NoSpacing"/>
              <w:rPr>
                <w:rFonts w:ascii="Aptos Narrow" w:hAnsi="Aptos Narrow"/>
                <w:color w:val="000000"/>
                <w:lang w:val="en-IN" w:eastAsia="en-IN"/>
              </w:rPr>
            </w:pPr>
          </w:p>
        </w:tc>
        <w:tc>
          <w:tcPr>
            <w:tcW w:w="1048" w:type="dxa"/>
            <w:tcBorders>
              <w:top w:val="nil"/>
              <w:left w:val="nil"/>
              <w:bottom w:val="nil"/>
              <w:right w:val="nil"/>
            </w:tcBorders>
            <w:shd w:val="clear" w:color="auto" w:fill="auto"/>
            <w:noWrap/>
            <w:vAlign w:val="bottom"/>
          </w:tcPr>
          <w:p w14:paraId="4758E1B5" w14:textId="77777777" w:rsidR="00FE26D9" w:rsidRPr="00FE26D9" w:rsidRDefault="00FE26D9" w:rsidP="00CB42B7">
            <w:pPr>
              <w:pStyle w:val="NoSpacing"/>
              <w:rPr>
                <w:rFonts w:ascii="Aptos Narrow" w:hAnsi="Aptos Narrow"/>
                <w:color w:val="000000"/>
                <w:lang w:val="en-IN" w:eastAsia="en-IN"/>
              </w:rPr>
            </w:pPr>
          </w:p>
        </w:tc>
        <w:tc>
          <w:tcPr>
            <w:tcW w:w="1240" w:type="dxa"/>
            <w:tcBorders>
              <w:top w:val="nil"/>
              <w:left w:val="nil"/>
              <w:bottom w:val="nil"/>
              <w:right w:val="nil"/>
            </w:tcBorders>
            <w:shd w:val="clear" w:color="auto" w:fill="auto"/>
            <w:noWrap/>
            <w:vAlign w:val="bottom"/>
          </w:tcPr>
          <w:p w14:paraId="37D7B94B" w14:textId="77777777" w:rsidR="00FE26D9" w:rsidRPr="00FE26D9" w:rsidRDefault="00FE26D9" w:rsidP="00CB42B7">
            <w:pPr>
              <w:pStyle w:val="NoSpacing"/>
              <w:rPr>
                <w:rFonts w:ascii="Aptos Narrow" w:hAnsi="Aptos Narrow"/>
                <w:color w:val="000000"/>
                <w:lang w:val="en-IN" w:eastAsia="en-IN"/>
              </w:rPr>
            </w:pPr>
          </w:p>
        </w:tc>
      </w:tr>
      <w:tr w:rsidR="00FE26D9" w:rsidRPr="00FE26D9" w14:paraId="7ACF2E06"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15931AEB" w14:textId="77777777" w:rsidR="00FE26D9" w:rsidRPr="00FE26D9" w:rsidRDefault="00FE26D9" w:rsidP="00FE26D9">
            <w:pPr>
              <w:widowControl/>
              <w:autoSpaceDE/>
              <w:autoSpaceDN/>
              <w:rPr>
                <w:i/>
                <w:iCs/>
                <w:color w:val="000000"/>
                <w:lang w:val="en-IN" w:eastAsia="en-IN"/>
              </w:rPr>
            </w:pPr>
            <w:r w:rsidRPr="00FE26D9">
              <w:rPr>
                <w:i/>
                <w:iCs/>
                <w:color w:val="000000"/>
                <w:lang w:val="en-IN" w:eastAsia="en-IN"/>
              </w:rPr>
              <w:t>Disposition of Case</w:t>
            </w:r>
          </w:p>
        </w:tc>
        <w:tc>
          <w:tcPr>
            <w:tcW w:w="2939" w:type="dxa"/>
            <w:gridSpan w:val="5"/>
            <w:tcBorders>
              <w:top w:val="nil"/>
              <w:left w:val="nil"/>
              <w:bottom w:val="single" w:sz="4" w:space="0" w:color="auto"/>
              <w:right w:val="nil"/>
            </w:tcBorders>
            <w:shd w:val="clear" w:color="auto" w:fill="auto"/>
            <w:noWrap/>
            <w:vAlign w:val="bottom"/>
            <w:hideMark/>
          </w:tcPr>
          <w:p w14:paraId="477C6AB5" w14:textId="610BD151" w:rsidR="00FE26D9" w:rsidRPr="00CB42B7" w:rsidRDefault="00CB42B7" w:rsidP="00CB42B7">
            <w:pPr>
              <w:pStyle w:val="NoSpacing"/>
              <w:jc w:val="right"/>
              <w:rPr>
                <w:color w:val="000000"/>
                <w:lang w:val="en-IN" w:eastAsia="en-IN"/>
              </w:rPr>
            </w:pPr>
            <w:r>
              <w:rPr>
                <w:color w:val="000000"/>
                <w:lang w:val="en-IN" w:eastAsia="en-IN"/>
              </w:rPr>
              <w:t># Observations</w:t>
            </w:r>
          </w:p>
        </w:tc>
        <w:tc>
          <w:tcPr>
            <w:tcW w:w="2819" w:type="dxa"/>
            <w:gridSpan w:val="4"/>
            <w:tcBorders>
              <w:top w:val="nil"/>
              <w:left w:val="nil"/>
              <w:bottom w:val="single" w:sz="4" w:space="0" w:color="auto"/>
              <w:right w:val="nil"/>
            </w:tcBorders>
            <w:shd w:val="clear" w:color="auto" w:fill="auto"/>
            <w:noWrap/>
            <w:vAlign w:val="bottom"/>
            <w:hideMark/>
          </w:tcPr>
          <w:p w14:paraId="0B168A95" w14:textId="0532A100" w:rsidR="00FE26D9" w:rsidRPr="00CB42B7" w:rsidRDefault="00CB42B7" w:rsidP="00CB42B7">
            <w:pPr>
              <w:pStyle w:val="NoSpacing"/>
              <w:rPr>
                <w:lang w:val="en-IN" w:eastAsia="en-IN"/>
              </w:rPr>
            </w:pPr>
            <w:r>
              <w:rPr>
                <w:lang w:val="en-IN" w:eastAsia="en-IN"/>
              </w:rPr>
              <w:t>Type of Disposition</w:t>
            </w:r>
          </w:p>
        </w:tc>
      </w:tr>
      <w:tr w:rsidR="00FE26D9" w:rsidRPr="00FE26D9" w14:paraId="3B6D8FC6"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79258959" w14:textId="77777777" w:rsidR="00FE26D9" w:rsidRPr="00FE26D9" w:rsidRDefault="00FE26D9" w:rsidP="00FE26D9">
            <w:pPr>
              <w:widowControl/>
              <w:autoSpaceDE/>
              <w:autoSpaceDN/>
              <w:rPr>
                <w:sz w:val="20"/>
                <w:szCs w:val="20"/>
                <w:lang w:val="en-IN" w:eastAsia="en-IN"/>
              </w:rPr>
            </w:pPr>
          </w:p>
        </w:tc>
        <w:tc>
          <w:tcPr>
            <w:tcW w:w="2939" w:type="dxa"/>
            <w:gridSpan w:val="5"/>
            <w:tcBorders>
              <w:top w:val="single" w:sz="4" w:space="0" w:color="auto"/>
              <w:left w:val="nil"/>
              <w:bottom w:val="nil"/>
              <w:right w:val="nil"/>
            </w:tcBorders>
            <w:shd w:val="clear" w:color="auto" w:fill="auto"/>
            <w:noWrap/>
            <w:vAlign w:val="bottom"/>
            <w:hideMark/>
          </w:tcPr>
          <w:p w14:paraId="30130E33" w14:textId="77777777" w:rsidR="00FE26D9" w:rsidRPr="00CB42B7" w:rsidRDefault="00FE26D9" w:rsidP="00CB42B7">
            <w:pPr>
              <w:pStyle w:val="NoSpacing"/>
              <w:jc w:val="right"/>
              <w:rPr>
                <w:color w:val="000000"/>
                <w:lang w:val="en-IN" w:eastAsia="en-IN"/>
              </w:rPr>
            </w:pPr>
            <w:r w:rsidRPr="00CB42B7">
              <w:rPr>
                <w:color w:val="000000"/>
                <w:lang w:val="en-IN" w:eastAsia="en-IN"/>
              </w:rPr>
              <w:t>2401</w:t>
            </w:r>
          </w:p>
        </w:tc>
        <w:tc>
          <w:tcPr>
            <w:tcW w:w="2819" w:type="dxa"/>
            <w:gridSpan w:val="4"/>
            <w:tcBorders>
              <w:top w:val="single" w:sz="4" w:space="0" w:color="auto"/>
              <w:left w:val="nil"/>
              <w:bottom w:val="nil"/>
              <w:right w:val="nil"/>
            </w:tcBorders>
            <w:shd w:val="clear" w:color="auto" w:fill="auto"/>
            <w:noWrap/>
            <w:vAlign w:val="bottom"/>
            <w:hideMark/>
          </w:tcPr>
          <w:p w14:paraId="66147F89" w14:textId="77777777" w:rsidR="00FE26D9" w:rsidRPr="00CB42B7" w:rsidRDefault="00FE26D9" w:rsidP="00CB42B7">
            <w:pPr>
              <w:pStyle w:val="NoSpacing"/>
              <w:rPr>
                <w:color w:val="000000"/>
                <w:lang w:val="en-IN" w:eastAsia="en-IN"/>
              </w:rPr>
            </w:pPr>
            <w:r w:rsidRPr="00CB42B7">
              <w:rPr>
                <w:color w:val="000000"/>
                <w:lang w:val="en-IN" w:eastAsia="en-IN"/>
              </w:rPr>
              <w:t>withdrawn</w:t>
            </w:r>
          </w:p>
        </w:tc>
      </w:tr>
      <w:tr w:rsidR="00FE26D9" w:rsidRPr="00FE26D9" w14:paraId="123B6FC8"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75317312"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05187912" w14:textId="77777777" w:rsidR="00FE26D9" w:rsidRPr="00CB42B7" w:rsidRDefault="00FE26D9" w:rsidP="00CB42B7">
            <w:pPr>
              <w:pStyle w:val="NoSpacing"/>
              <w:jc w:val="right"/>
              <w:rPr>
                <w:color w:val="000000"/>
                <w:lang w:val="en-IN" w:eastAsia="en-IN"/>
              </w:rPr>
            </w:pPr>
            <w:r w:rsidRPr="00CB42B7">
              <w:rPr>
                <w:color w:val="000000"/>
                <w:lang w:val="en-IN" w:eastAsia="en-IN"/>
              </w:rPr>
              <w:t>1967</w:t>
            </w:r>
          </w:p>
        </w:tc>
        <w:tc>
          <w:tcPr>
            <w:tcW w:w="2819" w:type="dxa"/>
            <w:gridSpan w:val="4"/>
            <w:tcBorders>
              <w:top w:val="nil"/>
              <w:left w:val="nil"/>
              <w:bottom w:val="nil"/>
              <w:right w:val="nil"/>
            </w:tcBorders>
            <w:shd w:val="clear" w:color="auto" w:fill="auto"/>
            <w:noWrap/>
            <w:vAlign w:val="bottom"/>
            <w:hideMark/>
          </w:tcPr>
          <w:p w14:paraId="16E96103" w14:textId="77777777" w:rsidR="00FE26D9" w:rsidRPr="00CB42B7" w:rsidRDefault="00FE26D9" w:rsidP="00CB42B7">
            <w:pPr>
              <w:pStyle w:val="NoSpacing"/>
              <w:rPr>
                <w:color w:val="000000"/>
                <w:lang w:val="en-IN" w:eastAsia="en-IN"/>
              </w:rPr>
            </w:pPr>
            <w:r w:rsidRPr="00CB42B7">
              <w:rPr>
                <w:color w:val="000000"/>
                <w:lang w:val="en-IN" w:eastAsia="en-IN"/>
              </w:rPr>
              <w:t>disposed</w:t>
            </w:r>
          </w:p>
        </w:tc>
      </w:tr>
      <w:tr w:rsidR="00FE26D9" w:rsidRPr="00FE26D9" w14:paraId="72E91038"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0D3C0E45"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53FC32E6" w14:textId="77777777" w:rsidR="00FE26D9" w:rsidRPr="00CB42B7" w:rsidRDefault="00FE26D9" w:rsidP="00CB42B7">
            <w:pPr>
              <w:pStyle w:val="NoSpacing"/>
              <w:jc w:val="right"/>
              <w:rPr>
                <w:color w:val="000000"/>
                <w:lang w:val="en-IN" w:eastAsia="en-IN"/>
              </w:rPr>
            </w:pPr>
            <w:r w:rsidRPr="00CB42B7">
              <w:rPr>
                <w:color w:val="000000"/>
                <w:lang w:val="en-IN" w:eastAsia="en-IN"/>
              </w:rPr>
              <w:t>1434</w:t>
            </w:r>
          </w:p>
        </w:tc>
        <w:tc>
          <w:tcPr>
            <w:tcW w:w="2819" w:type="dxa"/>
            <w:gridSpan w:val="4"/>
            <w:tcBorders>
              <w:top w:val="nil"/>
              <w:left w:val="nil"/>
              <w:bottom w:val="nil"/>
              <w:right w:val="nil"/>
            </w:tcBorders>
            <w:shd w:val="clear" w:color="auto" w:fill="auto"/>
            <w:noWrap/>
            <w:vAlign w:val="bottom"/>
            <w:hideMark/>
          </w:tcPr>
          <w:p w14:paraId="0D39867D" w14:textId="77777777" w:rsidR="00FE26D9" w:rsidRPr="00CB42B7" w:rsidRDefault="00FE26D9" w:rsidP="00CB42B7">
            <w:pPr>
              <w:pStyle w:val="NoSpacing"/>
              <w:rPr>
                <w:color w:val="000000"/>
                <w:lang w:val="en-IN" w:eastAsia="en-IN"/>
              </w:rPr>
            </w:pPr>
            <w:r w:rsidRPr="00CB42B7">
              <w:rPr>
                <w:color w:val="000000"/>
                <w:lang w:val="en-IN" w:eastAsia="en-IN"/>
              </w:rPr>
              <w:t>Other</w:t>
            </w:r>
          </w:p>
        </w:tc>
      </w:tr>
      <w:tr w:rsidR="00FE26D9" w:rsidRPr="00FE26D9" w14:paraId="1F3F556D"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722037FD"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5910EAA8" w14:textId="77777777" w:rsidR="00FE26D9" w:rsidRPr="00CB42B7" w:rsidRDefault="00FE26D9" w:rsidP="00CB42B7">
            <w:pPr>
              <w:pStyle w:val="NoSpacing"/>
              <w:jc w:val="right"/>
              <w:rPr>
                <w:color w:val="000000"/>
                <w:lang w:val="en-IN" w:eastAsia="en-IN"/>
              </w:rPr>
            </w:pPr>
            <w:r w:rsidRPr="00CB42B7">
              <w:rPr>
                <w:color w:val="000000"/>
                <w:lang w:val="en-IN" w:eastAsia="en-IN"/>
              </w:rPr>
              <w:t>927</w:t>
            </w:r>
          </w:p>
        </w:tc>
        <w:tc>
          <w:tcPr>
            <w:tcW w:w="2819" w:type="dxa"/>
            <w:gridSpan w:val="4"/>
            <w:tcBorders>
              <w:top w:val="nil"/>
              <w:left w:val="nil"/>
              <w:bottom w:val="nil"/>
              <w:right w:val="nil"/>
            </w:tcBorders>
            <w:shd w:val="clear" w:color="auto" w:fill="auto"/>
            <w:noWrap/>
            <w:vAlign w:val="bottom"/>
            <w:hideMark/>
          </w:tcPr>
          <w:p w14:paraId="790711B5" w14:textId="77777777" w:rsidR="00FE26D9" w:rsidRPr="00CB42B7" w:rsidRDefault="00FE26D9" w:rsidP="00CB42B7">
            <w:pPr>
              <w:pStyle w:val="NoSpacing"/>
              <w:rPr>
                <w:color w:val="000000"/>
                <w:lang w:val="en-IN" w:eastAsia="en-IN"/>
              </w:rPr>
            </w:pPr>
            <w:r w:rsidRPr="00CB42B7">
              <w:rPr>
                <w:color w:val="000000"/>
                <w:lang w:val="en-IN" w:eastAsia="en-IN"/>
              </w:rPr>
              <w:t>dismissed</w:t>
            </w:r>
          </w:p>
        </w:tc>
      </w:tr>
      <w:tr w:rsidR="00FE26D9" w:rsidRPr="00FE26D9" w14:paraId="1917C67E"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5BBCF610"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7B3897E1" w14:textId="77777777" w:rsidR="00FE26D9" w:rsidRPr="00CB42B7" w:rsidRDefault="00FE26D9" w:rsidP="00CB42B7">
            <w:pPr>
              <w:pStyle w:val="NoSpacing"/>
              <w:jc w:val="right"/>
              <w:rPr>
                <w:color w:val="000000"/>
                <w:lang w:val="en-IN" w:eastAsia="en-IN"/>
              </w:rPr>
            </w:pPr>
            <w:r w:rsidRPr="00CB42B7">
              <w:rPr>
                <w:color w:val="000000"/>
                <w:lang w:val="en-IN" w:eastAsia="en-IN"/>
              </w:rPr>
              <w:t>921</w:t>
            </w:r>
          </w:p>
        </w:tc>
        <w:tc>
          <w:tcPr>
            <w:tcW w:w="2819" w:type="dxa"/>
            <w:gridSpan w:val="4"/>
            <w:tcBorders>
              <w:top w:val="nil"/>
              <w:left w:val="nil"/>
              <w:bottom w:val="nil"/>
              <w:right w:val="nil"/>
            </w:tcBorders>
            <w:shd w:val="clear" w:color="auto" w:fill="auto"/>
            <w:noWrap/>
            <w:vAlign w:val="bottom"/>
            <w:hideMark/>
          </w:tcPr>
          <w:p w14:paraId="45278B4C" w14:textId="77777777" w:rsidR="00FE26D9" w:rsidRPr="00CB42B7" w:rsidRDefault="00FE26D9" w:rsidP="00CB42B7">
            <w:pPr>
              <w:pStyle w:val="NoSpacing"/>
              <w:rPr>
                <w:color w:val="000000"/>
                <w:lang w:val="en-IN" w:eastAsia="en-IN"/>
              </w:rPr>
            </w:pPr>
            <w:r w:rsidRPr="00CB42B7">
              <w:rPr>
                <w:color w:val="000000"/>
                <w:lang w:val="en-IN" w:eastAsia="en-IN"/>
              </w:rPr>
              <w:t>allowed</w:t>
            </w:r>
          </w:p>
        </w:tc>
      </w:tr>
      <w:tr w:rsidR="00FE26D9" w:rsidRPr="00FE26D9" w14:paraId="31982908"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4026881F"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2140D785" w14:textId="77777777" w:rsidR="00FE26D9" w:rsidRPr="00CB42B7" w:rsidRDefault="00FE26D9" w:rsidP="00CB42B7">
            <w:pPr>
              <w:pStyle w:val="NoSpacing"/>
              <w:jc w:val="right"/>
              <w:rPr>
                <w:color w:val="000000"/>
                <w:lang w:val="en-IN" w:eastAsia="en-IN"/>
              </w:rPr>
            </w:pPr>
            <w:r w:rsidRPr="00CB42B7">
              <w:rPr>
                <w:color w:val="000000"/>
                <w:lang w:val="en-IN" w:eastAsia="en-IN"/>
              </w:rPr>
              <w:t>645</w:t>
            </w:r>
          </w:p>
        </w:tc>
        <w:tc>
          <w:tcPr>
            <w:tcW w:w="2819" w:type="dxa"/>
            <w:gridSpan w:val="4"/>
            <w:tcBorders>
              <w:top w:val="nil"/>
              <w:left w:val="nil"/>
              <w:bottom w:val="nil"/>
              <w:right w:val="nil"/>
            </w:tcBorders>
            <w:shd w:val="clear" w:color="auto" w:fill="auto"/>
            <w:noWrap/>
            <w:vAlign w:val="bottom"/>
            <w:hideMark/>
          </w:tcPr>
          <w:p w14:paraId="4F98BD04" w14:textId="77777777" w:rsidR="00FE26D9" w:rsidRPr="00CB42B7" w:rsidRDefault="00FE26D9" w:rsidP="00CB42B7">
            <w:pPr>
              <w:pStyle w:val="NoSpacing"/>
              <w:rPr>
                <w:color w:val="000000"/>
                <w:lang w:val="en-IN" w:eastAsia="en-IN"/>
              </w:rPr>
            </w:pPr>
            <w:r w:rsidRPr="00CB42B7">
              <w:rPr>
                <w:color w:val="000000"/>
                <w:lang w:val="en-IN" w:eastAsia="en-IN"/>
              </w:rPr>
              <w:t>compromise</w:t>
            </w:r>
          </w:p>
        </w:tc>
      </w:tr>
      <w:tr w:rsidR="00FE26D9" w:rsidRPr="00FE26D9" w14:paraId="6E9499A8"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356AE4EF"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60DD742C" w14:textId="77777777" w:rsidR="00FE26D9" w:rsidRPr="00CB42B7" w:rsidRDefault="00FE26D9" w:rsidP="00CB42B7">
            <w:pPr>
              <w:pStyle w:val="NoSpacing"/>
              <w:jc w:val="right"/>
              <w:rPr>
                <w:color w:val="000000"/>
                <w:lang w:val="en-IN" w:eastAsia="en-IN"/>
              </w:rPr>
            </w:pPr>
            <w:r w:rsidRPr="00CB42B7">
              <w:rPr>
                <w:color w:val="000000"/>
                <w:lang w:val="en-IN" w:eastAsia="en-IN"/>
              </w:rPr>
              <w:t>367</w:t>
            </w:r>
          </w:p>
        </w:tc>
        <w:tc>
          <w:tcPr>
            <w:tcW w:w="2819" w:type="dxa"/>
            <w:gridSpan w:val="4"/>
            <w:tcBorders>
              <w:top w:val="nil"/>
              <w:left w:val="nil"/>
              <w:bottom w:val="nil"/>
              <w:right w:val="nil"/>
            </w:tcBorders>
            <w:shd w:val="clear" w:color="auto" w:fill="auto"/>
            <w:noWrap/>
            <w:vAlign w:val="bottom"/>
            <w:hideMark/>
          </w:tcPr>
          <w:p w14:paraId="2ABEA389" w14:textId="77777777" w:rsidR="00FE26D9" w:rsidRPr="00CB42B7" w:rsidRDefault="00FE26D9" w:rsidP="00CB42B7">
            <w:pPr>
              <w:pStyle w:val="NoSpacing"/>
              <w:rPr>
                <w:color w:val="000000"/>
                <w:lang w:val="en-IN" w:eastAsia="en-IN"/>
              </w:rPr>
            </w:pPr>
            <w:r w:rsidRPr="00CB42B7">
              <w:rPr>
                <w:color w:val="000000"/>
                <w:lang w:val="en-IN" w:eastAsia="en-IN"/>
              </w:rPr>
              <w:t xml:space="preserve">referred to </w:t>
            </w:r>
            <w:proofErr w:type="spellStart"/>
            <w:r w:rsidRPr="00CB42B7">
              <w:rPr>
                <w:color w:val="000000"/>
                <w:lang w:val="en-IN" w:eastAsia="en-IN"/>
              </w:rPr>
              <w:t>lok</w:t>
            </w:r>
            <w:proofErr w:type="spellEnd"/>
            <w:r w:rsidRPr="00CB42B7">
              <w:rPr>
                <w:color w:val="000000"/>
                <w:lang w:val="en-IN" w:eastAsia="en-IN"/>
              </w:rPr>
              <w:t xml:space="preserve"> </w:t>
            </w:r>
            <w:proofErr w:type="spellStart"/>
            <w:r w:rsidRPr="00CB42B7">
              <w:rPr>
                <w:color w:val="000000"/>
                <w:lang w:val="en-IN" w:eastAsia="en-IN"/>
              </w:rPr>
              <w:t>adalat</w:t>
            </w:r>
            <w:proofErr w:type="spellEnd"/>
          </w:p>
        </w:tc>
      </w:tr>
      <w:tr w:rsidR="00FE26D9" w:rsidRPr="00FE26D9" w14:paraId="0F57713A"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55D7A888"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4D6955D4" w14:textId="77777777" w:rsidR="00FE26D9" w:rsidRPr="00CB42B7" w:rsidRDefault="00FE26D9" w:rsidP="00CB42B7">
            <w:pPr>
              <w:pStyle w:val="NoSpacing"/>
              <w:jc w:val="right"/>
              <w:rPr>
                <w:color w:val="000000"/>
                <w:lang w:val="en-IN" w:eastAsia="en-IN"/>
              </w:rPr>
            </w:pPr>
            <w:r w:rsidRPr="00CB42B7">
              <w:rPr>
                <w:color w:val="000000"/>
                <w:lang w:val="en-IN" w:eastAsia="en-IN"/>
              </w:rPr>
              <w:t>322</w:t>
            </w:r>
          </w:p>
        </w:tc>
        <w:tc>
          <w:tcPr>
            <w:tcW w:w="2819" w:type="dxa"/>
            <w:gridSpan w:val="4"/>
            <w:tcBorders>
              <w:top w:val="nil"/>
              <w:left w:val="nil"/>
              <w:bottom w:val="nil"/>
              <w:right w:val="nil"/>
            </w:tcBorders>
            <w:shd w:val="clear" w:color="auto" w:fill="auto"/>
            <w:noWrap/>
            <w:vAlign w:val="bottom"/>
            <w:hideMark/>
          </w:tcPr>
          <w:p w14:paraId="5D0E797C" w14:textId="77777777" w:rsidR="00FE26D9" w:rsidRPr="00CB42B7" w:rsidRDefault="00FE26D9" w:rsidP="00CB42B7">
            <w:pPr>
              <w:pStyle w:val="NoSpacing"/>
              <w:rPr>
                <w:color w:val="000000"/>
                <w:lang w:val="en-IN" w:eastAsia="en-IN"/>
              </w:rPr>
            </w:pPr>
            <w:r w:rsidRPr="00CB42B7">
              <w:rPr>
                <w:color w:val="000000"/>
                <w:lang w:val="en-IN" w:eastAsia="en-IN"/>
              </w:rPr>
              <w:t>transferred</w:t>
            </w:r>
          </w:p>
        </w:tc>
      </w:tr>
      <w:tr w:rsidR="00FE26D9" w:rsidRPr="00FE26D9" w14:paraId="2192EFB5"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289F761E"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088331A5" w14:textId="77777777" w:rsidR="00FE26D9" w:rsidRPr="00CB42B7" w:rsidRDefault="00FE26D9" w:rsidP="00CB42B7">
            <w:pPr>
              <w:pStyle w:val="NoSpacing"/>
              <w:jc w:val="right"/>
              <w:rPr>
                <w:color w:val="000000"/>
                <w:lang w:val="en-IN" w:eastAsia="en-IN"/>
              </w:rPr>
            </w:pPr>
            <w:r w:rsidRPr="00CB42B7">
              <w:rPr>
                <w:color w:val="000000"/>
                <w:lang w:val="en-IN" w:eastAsia="en-IN"/>
              </w:rPr>
              <w:t>204</w:t>
            </w:r>
          </w:p>
        </w:tc>
        <w:tc>
          <w:tcPr>
            <w:tcW w:w="2819" w:type="dxa"/>
            <w:gridSpan w:val="4"/>
            <w:tcBorders>
              <w:top w:val="nil"/>
              <w:left w:val="nil"/>
              <w:bottom w:val="nil"/>
              <w:right w:val="nil"/>
            </w:tcBorders>
            <w:shd w:val="clear" w:color="auto" w:fill="auto"/>
            <w:noWrap/>
            <w:vAlign w:val="bottom"/>
            <w:hideMark/>
          </w:tcPr>
          <w:p w14:paraId="2C144B21" w14:textId="77777777" w:rsidR="00FE26D9" w:rsidRPr="00CB42B7" w:rsidRDefault="00FE26D9" w:rsidP="00CB42B7">
            <w:pPr>
              <w:pStyle w:val="NoSpacing"/>
              <w:rPr>
                <w:color w:val="000000"/>
                <w:lang w:val="en-IN" w:eastAsia="en-IN"/>
              </w:rPr>
            </w:pPr>
            <w:r w:rsidRPr="00CB42B7">
              <w:rPr>
                <w:color w:val="000000"/>
                <w:lang w:val="en-IN" w:eastAsia="en-IN"/>
              </w:rPr>
              <w:t>compounded</w:t>
            </w:r>
          </w:p>
        </w:tc>
      </w:tr>
      <w:tr w:rsidR="00FE26D9" w:rsidRPr="00FE26D9" w14:paraId="77CAE632"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1D02A782"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09E0D4E9" w14:textId="77777777" w:rsidR="00FE26D9" w:rsidRPr="00CB42B7" w:rsidRDefault="00FE26D9" w:rsidP="00CB42B7">
            <w:pPr>
              <w:pStyle w:val="NoSpacing"/>
              <w:jc w:val="right"/>
              <w:rPr>
                <w:color w:val="000000"/>
                <w:lang w:val="en-IN" w:eastAsia="en-IN"/>
              </w:rPr>
            </w:pPr>
            <w:r w:rsidRPr="00CB42B7">
              <w:rPr>
                <w:color w:val="000000"/>
                <w:lang w:val="en-IN" w:eastAsia="en-IN"/>
              </w:rPr>
              <w:t>120</w:t>
            </w:r>
          </w:p>
        </w:tc>
        <w:tc>
          <w:tcPr>
            <w:tcW w:w="2819" w:type="dxa"/>
            <w:gridSpan w:val="4"/>
            <w:tcBorders>
              <w:top w:val="nil"/>
              <w:left w:val="nil"/>
              <w:bottom w:val="nil"/>
              <w:right w:val="nil"/>
            </w:tcBorders>
            <w:shd w:val="clear" w:color="auto" w:fill="auto"/>
            <w:noWrap/>
            <w:vAlign w:val="bottom"/>
            <w:hideMark/>
          </w:tcPr>
          <w:p w14:paraId="1154A858" w14:textId="77777777" w:rsidR="00FE26D9" w:rsidRPr="00CB42B7" w:rsidRDefault="00FE26D9" w:rsidP="00CB42B7">
            <w:pPr>
              <w:pStyle w:val="NoSpacing"/>
              <w:rPr>
                <w:color w:val="000000"/>
                <w:lang w:val="en-IN" w:eastAsia="en-IN"/>
              </w:rPr>
            </w:pPr>
            <w:r w:rsidRPr="00CB42B7">
              <w:rPr>
                <w:color w:val="000000"/>
                <w:lang w:val="en-IN" w:eastAsia="en-IN"/>
              </w:rPr>
              <w:t>disposition var missing</w:t>
            </w:r>
          </w:p>
        </w:tc>
      </w:tr>
      <w:tr w:rsidR="00FE26D9" w:rsidRPr="00FE26D9" w14:paraId="18FE8117"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3DEE0F24"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70C79F08" w14:textId="77777777" w:rsidR="00FE26D9" w:rsidRPr="00CB42B7" w:rsidRDefault="00FE26D9" w:rsidP="00CB42B7">
            <w:pPr>
              <w:pStyle w:val="NoSpacing"/>
              <w:jc w:val="right"/>
              <w:rPr>
                <w:color w:val="000000"/>
                <w:lang w:val="en-IN" w:eastAsia="en-IN"/>
              </w:rPr>
            </w:pPr>
            <w:r w:rsidRPr="00CB42B7">
              <w:rPr>
                <w:color w:val="000000"/>
                <w:lang w:val="en-IN" w:eastAsia="en-IN"/>
              </w:rPr>
              <w:t>119</w:t>
            </w:r>
          </w:p>
        </w:tc>
        <w:tc>
          <w:tcPr>
            <w:tcW w:w="2819" w:type="dxa"/>
            <w:gridSpan w:val="4"/>
            <w:tcBorders>
              <w:top w:val="nil"/>
              <w:left w:val="nil"/>
              <w:bottom w:val="nil"/>
              <w:right w:val="nil"/>
            </w:tcBorders>
            <w:shd w:val="clear" w:color="auto" w:fill="auto"/>
            <w:noWrap/>
            <w:vAlign w:val="bottom"/>
            <w:hideMark/>
          </w:tcPr>
          <w:p w14:paraId="352CF6A2" w14:textId="77777777" w:rsidR="00FE26D9" w:rsidRPr="00CB42B7" w:rsidRDefault="00FE26D9" w:rsidP="00CB42B7">
            <w:pPr>
              <w:pStyle w:val="NoSpacing"/>
              <w:rPr>
                <w:color w:val="000000"/>
                <w:lang w:val="en-IN" w:eastAsia="en-IN"/>
              </w:rPr>
            </w:pPr>
            <w:r w:rsidRPr="00CB42B7">
              <w:rPr>
                <w:color w:val="000000"/>
                <w:lang w:val="en-IN" w:eastAsia="en-IN"/>
              </w:rPr>
              <w:t>acquitted</w:t>
            </w:r>
          </w:p>
        </w:tc>
      </w:tr>
      <w:tr w:rsidR="00CB42B7" w:rsidRPr="00FE26D9" w14:paraId="2598607B"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tcPr>
          <w:p w14:paraId="3056AC97" w14:textId="77777777" w:rsidR="00CB42B7" w:rsidRPr="00FE26D9" w:rsidRDefault="00CB42B7"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tcPr>
          <w:p w14:paraId="0827F98C" w14:textId="77777777" w:rsidR="00CB42B7" w:rsidRPr="00CB42B7" w:rsidRDefault="00CB42B7" w:rsidP="00CB42B7">
            <w:pPr>
              <w:pStyle w:val="NoSpacing"/>
              <w:jc w:val="right"/>
              <w:rPr>
                <w:color w:val="000000"/>
                <w:lang w:val="en-IN" w:eastAsia="en-IN"/>
              </w:rPr>
            </w:pPr>
          </w:p>
        </w:tc>
        <w:tc>
          <w:tcPr>
            <w:tcW w:w="2819" w:type="dxa"/>
            <w:gridSpan w:val="4"/>
            <w:tcBorders>
              <w:top w:val="nil"/>
              <w:left w:val="nil"/>
              <w:bottom w:val="nil"/>
              <w:right w:val="nil"/>
            </w:tcBorders>
            <w:shd w:val="clear" w:color="auto" w:fill="auto"/>
            <w:noWrap/>
            <w:vAlign w:val="bottom"/>
          </w:tcPr>
          <w:p w14:paraId="009D176D" w14:textId="77777777" w:rsidR="00CB42B7" w:rsidRPr="00CB42B7" w:rsidRDefault="00CB42B7" w:rsidP="00CB42B7">
            <w:pPr>
              <w:pStyle w:val="NoSpacing"/>
              <w:rPr>
                <w:color w:val="000000"/>
                <w:lang w:val="en-IN" w:eastAsia="en-IN"/>
              </w:rPr>
            </w:pPr>
          </w:p>
        </w:tc>
      </w:tr>
      <w:tr w:rsidR="00CB42B7" w:rsidRPr="00FE26D9" w14:paraId="478D039F" w14:textId="77777777" w:rsidTr="006D1AB7">
        <w:trPr>
          <w:gridAfter w:val="3"/>
          <w:wAfter w:w="3165" w:type="dxa"/>
          <w:trHeight w:val="290"/>
          <w:jc w:val="center"/>
        </w:trPr>
        <w:tc>
          <w:tcPr>
            <w:tcW w:w="3003" w:type="dxa"/>
            <w:gridSpan w:val="2"/>
            <w:tcBorders>
              <w:top w:val="nil"/>
              <w:left w:val="nil"/>
              <w:bottom w:val="nil"/>
              <w:right w:val="nil"/>
            </w:tcBorders>
            <w:shd w:val="clear" w:color="auto" w:fill="auto"/>
            <w:noWrap/>
            <w:vAlign w:val="bottom"/>
            <w:hideMark/>
          </w:tcPr>
          <w:p w14:paraId="6C442E4C" w14:textId="3ABF57BE" w:rsidR="00CB42B7" w:rsidRPr="00CB42B7" w:rsidRDefault="00CB42B7" w:rsidP="00CB42B7">
            <w:pPr>
              <w:pStyle w:val="NoSpacing"/>
              <w:rPr>
                <w:i/>
                <w:iCs/>
                <w:color w:val="000000"/>
                <w:lang w:val="en-IN" w:eastAsia="en-IN"/>
              </w:rPr>
            </w:pPr>
            <w:r w:rsidRPr="00CB42B7">
              <w:rPr>
                <w:i/>
                <w:iCs/>
                <w:color w:val="000000"/>
                <w:lang w:val="en-IN" w:eastAsia="en-IN"/>
              </w:rPr>
              <w:t xml:space="preserve">Purpose of Case (hearing) </w:t>
            </w:r>
          </w:p>
        </w:tc>
        <w:tc>
          <w:tcPr>
            <w:tcW w:w="2442" w:type="dxa"/>
            <w:gridSpan w:val="4"/>
            <w:tcBorders>
              <w:top w:val="nil"/>
              <w:left w:val="nil"/>
              <w:bottom w:val="single" w:sz="4" w:space="0" w:color="auto"/>
              <w:right w:val="nil"/>
            </w:tcBorders>
            <w:shd w:val="clear" w:color="auto" w:fill="auto"/>
            <w:vAlign w:val="bottom"/>
          </w:tcPr>
          <w:p w14:paraId="76AB19D5" w14:textId="5995E1A6" w:rsidR="00CB42B7" w:rsidRPr="00CB42B7" w:rsidRDefault="00CB42B7" w:rsidP="00CB42B7">
            <w:pPr>
              <w:pStyle w:val="NoSpacing"/>
              <w:jc w:val="right"/>
              <w:rPr>
                <w:color w:val="000000"/>
                <w:lang w:val="en-IN" w:eastAsia="en-IN"/>
              </w:rPr>
            </w:pPr>
            <w:r>
              <w:rPr>
                <w:color w:val="000000"/>
                <w:lang w:val="en-IN" w:eastAsia="en-IN"/>
              </w:rPr>
              <w:t># Observations</w:t>
            </w:r>
          </w:p>
        </w:tc>
        <w:tc>
          <w:tcPr>
            <w:tcW w:w="2819" w:type="dxa"/>
            <w:gridSpan w:val="4"/>
            <w:tcBorders>
              <w:top w:val="nil"/>
              <w:left w:val="nil"/>
              <w:bottom w:val="single" w:sz="4" w:space="0" w:color="auto"/>
              <w:right w:val="nil"/>
            </w:tcBorders>
            <w:shd w:val="clear" w:color="auto" w:fill="auto"/>
            <w:noWrap/>
            <w:vAlign w:val="bottom"/>
            <w:hideMark/>
          </w:tcPr>
          <w:p w14:paraId="1D0AEF5A" w14:textId="2D7576AC" w:rsidR="00CB42B7" w:rsidRPr="00CB42B7" w:rsidRDefault="00CB42B7" w:rsidP="00CB42B7">
            <w:pPr>
              <w:pStyle w:val="NoSpacing"/>
              <w:rPr>
                <w:color w:val="000000"/>
                <w:lang w:val="en-IN" w:eastAsia="en-IN"/>
              </w:rPr>
            </w:pPr>
            <w:r>
              <w:rPr>
                <w:color w:val="000000"/>
                <w:lang w:val="en-IN" w:eastAsia="en-IN"/>
              </w:rPr>
              <w:t>Type of Purpose</w:t>
            </w:r>
          </w:p>
        </w:tc>
      </w:tr>
      <w:tr w:rsidR="006D1AB7" w:rsidRPr="00FE26D9" w14:paraId="09FFA5FD" w14:textId="77777777" w:rsidTr="006D1AB7">
        <w:trPr>
          <w:gridAfter w:val="3"/>
          <w:wAfter w:w="3165" w:type="dxa"/>
          <w:trHeight w:val="290"/>
          <w:jc w:val="center"/>
        </w:trPr>
        <w:tc>
          <w:tcPr>
            <w:tcW w:w="2506" w:type="dxa"/>
            <w:tcBorders>
              <w:left w:val="nil"/>
              <w:bottom w:val="nil"/>
              <w:right w:val="nil"/>
            </w:tcBorders>
            <w:shd w:val="clear" w:color="auto" w:fill="auto"/>
            <w:noWrap/>
            <w:vAlign w:val="bottom"/>
            <w:hideMark/>
          </w:tcPr>
          <w:p w14:paraId="07D0BFE2" w14:textId="77777777" w:rsidR="00FE26D9" w:rsidRPr="00FE26D9" w:rsidRDefault="00FE26D9" w:rsidP="00FE26D9">
            <w:pPr>
              <w:widowControl/>
              <w:autoSpaceDE/>
              <w:autoSpaceDN/>
              <w:rPr>
                <w:sz w:val="20"/>
                <w:szCs w:val="20"/>
                <w:lang w:val="en-IN" w:eastAsia="en-IN"/>
              </w:rPr>
            </w:pPr>
          </w:p>
        </w:tc>
        <w:tc>
          <w:tcPr>
            <w:tcW w:w="2939" w:type="dxa"/>
            <w:gridSpan w:val="5"/>
            <w:tcBorders>
              <w:top w:val="single" w:sz="4" w:space="0" w:color="auto"/>
              <w:left w:val="nil"/>
              <w:bottom w:val="nil"/>
              <w:right w:val="nil"/>
            </w:tcBorders>
            <w:shd w:val="clear" w:color="auto" w:fill="auto"/>
            <w:noWrap/>
            <w:vAlign w:val="bottom"/>
            <w:hideMark/>
          </w:tcPr>
          <w:p w14:paraId="6E5E01C3" w14:textId="77777777" w:rsidR="00FE26D9" w:rsidRPr="00CB42B7" w:rsidRDefault="00FE26D9" w:rsidP="00CB42B7">
            <w:pPr>
              <w:pStyle w:val="NoSpacing"/>
              <w:jc w:val="right"/>
              <w:rPr>
                <w:color w:val="000000"/>
                <w:lang w:val="en-IN" w:eastAsia="en-IN"/>
              </w:rPr>
            </w:pPr>
            <w:r w:rsidRPr="00CB42B7">
              <w:rPr>
                <w:color w:val="000000"/>
                <w:lang w:val="en-IN" w:eastAsia="en-IN"/>
              </w:rPr>
              <w:t>7702</w:t>
            </w:r>
          </w:p>
        </w:tc>
        <w:tc>
          <w:tcPr>
            <w:tcW w:w="2819" w:type="dxa"/>
            <w:gridSpan w:val="4"/>
            <w:tcBorders>
              <w:top w:val="single" w:sz="4" w:space="0" w:color="auto"/>
              <w:left w:val="nil"/>
              <w:bottom w:val="nil"/>
              <w:right w:val="nil"/>
            </w:tcBorders>
            <w:shd w:val="clear" w:color="auto" w:fill="auto"/>
            <w:noWrap/>
            <w:vAlign w:val="bottom"/>
            <w:hideMark/>
          </w:tcPr>
          <w:p w14:paraId="27768CAE" w14:textId="77777777" w:rsidR="00FE26D9" w:rsidRPr="00CB42B7" w:rsidRDefault="00FE26D9" w:rsidP="00CB42B7">
            <w:pPr>
              <w:pStyle w:val="NoSpacing"/>
              <w:rPr>
                <w:color w:val="000000"/>
                <w:lang w:val="en-IN" w:eastAsia="en-IN"/>
              </w:rPr>
            </w:pPr>
            <w:proofErr w:type="spellStart"/>
            <w:r w:rsidRPr="00CB42B7">
              <w:rPr>
                <w:color w:val="000000"/>
                <w:lang w:val="en-IN" w:eastAsia="en-IN"/>
              </w:rPr>
              <w:t>misc</w:t>
            </w:r>
            <w:proofErr w:type="spellEnd"/>
          </w:p>
        </w:tc>
      </w:tr>
      <w:tr w:rsidR="00FE26D9" w:rsidRPr="00FE26D9" w14:paraId="7621F49E"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2F8F85EC"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30116C40" w14:textId="77777777" w:rsidR="00FE26D9" w:rsidRPr="00CB42B7" w:rsidRDefault="00FE26D9" w:rsidP="00CB42B7">
            <w:pPr>
              <w:pStyle w:val="NoSpacing"/>
              <w:jc w:val="right"/>
              <w:rPr>
                <w:color w:val="000000"/>
                <w:lang w:val="en-IN" w:eastAsia="en-IN"/>
              </w:rPr>
            </w:pPr>
            <w:r w:rsidRPr="00CB42B7">
              <w:rPr>
                <w:color w:val="000000"/>
                <w:lang w:val="en-IN" w:eastAsia="en-IN"/>
              </w:rPr>
              <w:t>536</w:t>
            </w:r>
          </w:p>
        </w:tc>
        <w:tc>
          <w:tcPr>
            <w:tcW w:w="2819" w:type="dxa"/>
            <w:gridSpan w:val="4"/>
            <w:tcBorders>
              <w:top w:val="nil"/>
              <w:left w:val="nil"/>
              <w:bottom w:val="nil"/>
              <w:right w:val="nil"/>
            </w:tcBorders>
            <w:shd w:val="clear" w:color="auto" w:fill="auto"/>
            <w:noWrap/>
            <w:vAlign w:val="bottom"/>
            <w:hideMark/>
          </w:tcPr>
          <w:p w14:paraId="2772B1F6" w14:textId="77777777" w:rsidR="00FE26D9" w:rsidRPr="00CB42B7" w:rsidRDefault="00FE26D9" w:rsidP="00CB42B7">
            <w:pPr>
              <w:pStyle w:val="NoSpacing"/>
              <w:rPr>
                <w:color w:val="000000"/>
                <w:lang w:val="en-IN" w:eastAsia="en-IN"/>
              </w:rPr>
            </w:pPr>
            <w:r w:rsidRPr="00CB42B7">
              <w:rPr>
                <w:color w:val="000000"/>
                <w:lang w:val="en-IN" w:eastAsia="en-IN"/>
              </w:rPr>
              <w:t>order</w:t>
            </w:r>
          </w:p>
        </w:tc>
      </w:tr>
      <w:tr w:rsidR="00FE26D9" w:rsidRPr="00FE26D9" w14:paraId="54C8E7FF"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0FB251D4"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46F9F261" w14:textId="77777777" w:rsidR="00FE26D9" w:rsidRPr="00CB42B7" w:rsidRDefault="00FE26D9" w:rsidP="00CB42B7">
            <w:pPr>
              <w:pStyle w:val="NoSpacing"/>
              <w:jc w:val="right"/>
              <w:rPr>
                <w:color w:val="000000"/>
                <w:lang w:val="en-IN" w:eastAsia="en-IN"/>
              </w:rPr>
            </w:pPr>
            <w:r w:rsidRPr="00CB42B7">
              <w:rPr>
                <w:color w:val="000000"/>
                <w:lang w:val="en-IN" w:eastAsia="en-IN"/>
              </w:rPr>
              <w:t>485</w:t>
            </w:r>
          </w:p>
        </w:tc>
        <w:tc>
          <w:tcPr>
            <w:tcW w:w="2819" w:type="dxa"/>
            <w:gridSpan w:val="4"/>
            <w:tcBorders>
              <w:top w:val="nil"/>
              <w:left w:val="nil"/>
              <w:bottom w:val="nil"/>
              <w:right w:val="nil"/>
            </w:tcBorders>
            <w:shd w:val="clear" w:color="auto" w:fill="auto"/>
            <w:noWrap/>
            <w:vAlign w:val="bottom"/>
            <w:hideMark/>
          </w:tcPr>
          <w:p w14:paraId="7DD44E33" w14:textId="77777777" w:rsidR="00FE26D9" w:rsidRPr="00CB42B7" w:rsidRDefault="00FE26D9" w:rsidP="00CB42B7">
            <w:pPr>
              <w:pStyle w:val="NoSpacing"/>
              <w:rPr>
                <w:color w:val="000000"/>
                <w:lang w:val="en-IN" w:eastAsia="en-IN"/>
              </w:rPr>
            </w:pPr>
            <w:r w:rsidRPr="00CB42B7">
              <w:rPr>
                <w:color w:val="000000"/>
                <w:lang w:val="en-IN" w:eastAsia="en-IN"/>
              </w:rPr>
              <w:t>argument</w:t>
            </w:r>
          </w:p>
        </w:tc>
      </w:tr>
      <w:tr w:rsidR="00FE26D9" w:rsidRPr="00FE26D9" w14:paraId="7C643C51"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3A790A03"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5081EFE7" w14:textId="77777777" w:rsidR="00FE26D9" w:rsidRPr="00CB42B7" w:rsidRDefault="00FE26D9" w:rsidP="00CB42B7">
            <w:pPr>
              <w:pStyle w:val="NoSpacing"/>
              <w:jc w:val="right"/>
              <w:rPr>
                <w:color w:val="000000"/>
                <w:lang w:val="en-IN" w:eastAsia="en-IN"/>
              </w:rPr>
            </w:pPr>
            <w:r w:rsidRPr="00CB42B7">
              <w:rPr>
                <w:color w:val="000000"/>
                <w:lang w:val="en-IN" w:eastAsia="en-IN"/>
              </w:rPr>
              <w:t>297</w:t>
            </w:r>
          </w:p>
        </w:tc>
        <w:tc>
          <w:tcPr>
            <w:tcW w:w="2819" w:type="dxa"/>
            <w:gridSpan w:val="4"/>
            <w:tcBorders>
              <w:top w:val="nil"/>
              <w:left w:val="nil"/>
              <w:bottom w:val="nil"/>
              <w:right w:val="nil"/>
            </w:tcBorders>
            <w:shd w:val="clear" w:color="auto" w:fill="auto"/>
            <w:noWrap/>
            <w:vAlign w:val="bottom"/>
            <w:hideMark/>
          </w:tcPr>
          <w:p w14:paraId="23DD5074" w14:textId="77777777" w:rsidR="00FE26D9" w:rsidRPr="00CB42B7" w:rsidRDefault="00FE26D9" w:rsidP="00CB42B7">
            <w:pPr>
              <w:pStyle w:val="NoSpacing"/>
              <w:rPr>
                <w:color w:val="000000"/>
                <w:lang w:val="en-IN" w:eastAsia="en-IN"/>
              </w:rPr>
            </w:pPr>
            <w:r w:rsidRPr="00CB42B7">
              <w:rPr>
                <w:color w:val="000000"/>
                <w:lang w:val="en-IN" w:eastAsia="en-IN"/>
              </w:rPr>
              <w:t>evidence</w:t>
            </w:r>
          </w:p>
        </w:tc>
      </w:tr>
      <w:tr w:rsidR="00FE26D9" w:rsidRPr="00FE26D9" w14:paraId="129EE964"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2C6AE8E3"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1C7510E0" w14:textId="77777777" w:rsidR="00FE26D9" w:rsidRPr="00CB42B7" w:rsidRDefault="00FE26D9" w:rsidP="00CB42B7">
            <w:pPr>
              <w:pStyle w:val="NoSpacing"/>
              <w:jc w:val="right"/>
              <w:rPr>
                <w:color w:val="000000"/>
                <w:lang w:val="en-IN" w:eastAsia="en-IN"/>
              </w:rPr>
            </w:pPr>
            <w:r w:rsidRPr="00CB42B7">
              <w:rPr>
                <w:color w:val="000000"/>
                <w:lang w:val="en-IN" w:eastAsia="en-IN"/>
              </w:rPr>
              <w:t>237</w:t>
            </w:r>
          </w:p>
        </w:tc>
        <w:tc>
          <w:tcPr>
            <w:tcW w:w="2819" w:type="dxa"/>
            <w:gridSpan w:val="4"/>
            <w:tcBorders>
              <w:top w:val="nil"/>
              <w:left w:val="nil"/>
              <w:bottom w:val="nil"/>
              <w:right w:val="nil"/>
            </w:tcBorders>
            <w:shd w:val="clear" w:color="auto" w:fill="auto"/>
            <w:noWrap/>
            <w:vAlign w:val="bottom"/>
            <w:hideMark/>
          </w:tcPr>
          <w:p w14:paraId="521534FF" w14:textId="77777777" w:rsidR="00FE26D9" w:rsidRPr="00CB42B7" w:rsidRDefault="00FE26D9" w:rsidP="00CB42B7">
            <w:pPr>
              <w:pStyle w:val="NoSpacing"/>
              <w:rPr>
                <w:color w:val="000000"/>
                <w:lang w:val="en-IN" w:eastAsia="en-IN"/>
              </w:rPr>
            </w:pPr>
            <w:r w:rsidRPr="00CB42B7">
              <w:rPr>
                <w:color w:val="000000"/>
                <w:lang w:val="en-IN" w:eastAsia="en-IN"/>
              </w:rPr>
              <w:t>judgement</w:t>
            </w:r>
          </w:p>
        </w:tc>
      </w:tr>
      <w:tr w:rsidR="00FE26D9" w:rsidRPr="00FE26D9" w14:paraId="2FBD598F"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756C5121"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57715AD8" w14:textId="77777777" w:rsidR="00FE26D9" w:rsidRPr="00CB42B7" w:rsidRDefault="00FE26D9" w:rsidP="00CB42B7">
            <w:pPr>
              <w:pStyle w:val="NoSpacing"/>
              <w:jc w:val="right"/>
              <w:rPr>
                <w:color w:val="000000"/>
                <w:lang w:val="en-IN" w:eastAsia="en-IN"/>
              </w:rPr>
            </w:pPr>
            <w:r w:rsidRPr="00CB42B7">
              <w:rPr>
                <w:color w:val="000000"/>
                <w:lang w:val="en-IN" w:eastAsia="en-IN"/>
              </w:rPr>
              <w:t>130</w:t>
            </w:r>
          </w:p>
        </w:tc>
        <w:tc>
          <w:tcPr>
            <w:tcW w:w="2819" w:type="dxa"/>
            <w:gridSpan w:val="4"/>
            <w:tcBorders>
              <w:top w:val="nil"/>
              <w:left w:val="nil"/>
              <w:bottom w:val="nil"/>
              <w:right w:val="nil"/>
            </w:tcBorders>
            <w:shd w:val="clear" w:color="auto" w:fill="auto"/>
            <w:noWrap/>
            <w:vAlign w:val="bottom"/>
            <w:hideMark/>
          </w:tcPr>
          <w:p w14:paraId="32B6F40D" w14:textId="77777777" w:rsidR="00FE26D9" w:rsidRPr="00CB42B7" w:rsidRDefault="00FE26D9" w:rsidP="00CB42B7">
            <w:pPr>
              <w:pStyle w:val="NoSpacing"/>
              <w:rPr>
                <w:color w:val="000000"/>
                <w:lang w:val="en-IN" w:eastAsia="en-IN"/>
              </w:rPr>
            </w:pPr>
            <w:r w:rsidRPr="00CB42B7">
              <w:rPr>
                <w:color w:val="000000"/>
                <w:lang w:val="en-IN" w:eastAsia="en-IN"/>
              </w:rPr>
              <w:t>Other</w:t>
            </w:r>
          </w:p>
        </w:tc>
      </w:tr>
      <w:tr w:rsidR="00FE26D9" w:rsidRPr="00FE26D9" w14:paraId="3964DDFB"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0E219DB1" w14:textId="77777777" w:rsidR="00FE26D9" w:rsidRPr="00FE26D9" w:rsidRDefault="00FE26D9" w:rsidP="00FE26D9">
            <w:pPr>
              <w:widowControl/>
              <w:autoSpaceDE/>
              <w:autoSpaceDN/>
              <w:rPr>
                <w:color w:val="000000"/>
                <w:lang w:val="en-IN" w:eastAsia="en-IN"/>
              </w:rPr>
            </w:pPr>
          </w:p>
        </w:tc>
        <w:tc>
          <w:tcPr>
            <w:tcW w:w="2939" w:type="dxa"/>
            <w:gridSpan w:val="5"/>
            <w:tcBorders>
              <w:top w:val="nil"/>
              <w:left w:val="nil"/>
              <w:right w:val="nil"/>
            </w:tcBorders>
            <w:shd w:val="clear" w:color="auto" w:fill="auto"/>
            <w:noWrap/>
            <w:vAlign w:val="bottom"/>
            <w:hideMark/>
          </w:tcPr>
          <w:p w14:paraId="3AAB4181" w14:textId="77777777" w:rsidR="00FE26D9" w:rsidRPr="00CB42B7" w:rsidRDefault="00FE26D9" w:rsidP="00CB42B7">
            <w:pPr>
              <w:pStyle w:val="NoSpacing"/>
              <w:jc w:val="right"/>
              <w:rPr>
                <w:color w:val="000000"/>
                <w:lang w:val="en-IN" w:eastAsia="en-IN"/>
              </w:rPr>
            </w:pPr>
            <w:r w:rsidRPr="00CB42B7">
              <w:rPr>
                <w:color w:val="000000"/>
                <w:lang w:val="en-IN" w:eastAsia="en-IN"/>
              </w:rPr>
              <w:t>40</w:t>
            </w:r>
          </w:p>
        </w:tc>
        <w:tc>
          <w:tcPr>
            <w:tcW w:w="2819" w:type="dxa"/>
            <w:gridSpan w:val="4"/>
            <w:tcBorders>
              <w:top w:val="nil"/>
              <w:left w:val="nil"/>
              <w:right w:val="nil"/>
            </w:tcBorders>
            <w:shd w:val="clear" w:color="auto" w:fill="auto"/>
            <w:noWrap/>
            <w:vAlign w:val="bottom"/>
            <w:hideMark/>
          </w:tcPr>
          <w:p w14:paraId="56FCC02A" w14:textId="77777777" w:rsidR="00FE26D9" w:rsidRPr="00CB42B7" w:rsidRDefault="00FE26D9" w:rsidP="00CB42B7">
            <w:pPr>
              <w:pStyle w:val="NoSpacing"/>
              <w:rPr>
                <w:color w:val="000000"/>
                <w:lang w:val="en-IN" w:eastAsia="en-IN"/>
              </w:rPr>
            </w:pPr>
            <w:r w:rsidRPr="00CB42B7">
              <w:rPr>
                <w:color w:val="000000"/>
                <w:lang w:val="en-IN" w:eastAsia="en-IN"/>
              </w:rPr>
              <w:t>charge</w:t>
            </w:r>
          </w:p>
        </w:tc>
      </w:tr>
      <w:tr w:rsidR="00CB42B7" w:rsidRPr="00FE26D9" w14:paraId="64835D7A"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tcPr>
          <w:p w14:paraId="56F333A6" w14:textId="77777777" w:rsidR="00CB42B7" w:rsidRPr="00FE26D9" w:rsidRDefault="00CB42B7" w:rsidP="00FE26D9">
            <w:pPr>
              <w:widowControl/>
              <w:autoSpaceDE/>
              <w:autoSpaceDN/>
              <w:rPr>
                <w:color w:val="000000"/>
                <w:lang w:val="en-IN" w:eastAsia="en-IN"/>
              </w:rPr>
            </w:pPr>
          </w:p>
        </w:tc>
        <w:tc>
          <w:tcPr>
            <w:tcW w:w="2939" w:type="dxa"/>
            <w:gridSpan w:val="5"/>
            <w:tcBorders>
              <w:top w:val="nil"/>
              <w:left w:val="nil"/>
              <w:right w:val="nil"/>
            </w:tcBorders>
            <w:shd w:val="clear" w:color="auto" w:fill="auto"/>
            <w:noWrap/>
            <w:vAlign w:val="bottom"/>
          </w:tcPr>
          <w:p w14:paraId="4B114F28" w14:textId="77777777" w:rsidR="00CB42B7" w:rsidRPr="00CB42B7" w:rsidRDefault="00CB42B7" w:rsidP="00CB42B7">
            <w:pPr>
              <w:pStyle w:val="NoSpacing"/>
              <w:jc w:val="right"/>
              <w:rPr>
                <w:color w:val="000000"/>
                <w:lang w:val="en-IN" w:eastAsia="en-IN"/>
              </w:rPr>
            </w:pPr>
          </w:p>
        </w:tc>
        <w:tc>
          <w:tcPr>
            <w:tcW w:w="2819" w:type="dxa"/>
            <w:gridSpan w:val="4"/>
            <w:tcBorders>
              <w:top w:val="nil"/>
              <w:left w:val="nil"/>
              <w:right w:val="nil"/>
            </w:tcBorders>
            <w:shd w:val="clear" w:color="auto" w:fill="auto"/>
            <w:noWrap/>
            <w:vAlign w:val="bottom"/>
          </w:tcPr>
          <w:p w14:paraId="721681ED" w14:textId="77777777" w:rsidR="00CB42B7" w:rsidRPr="00CB42B7" w:rsidRDefault="00CB42B7" w:rsidP="00CB42B7">
            <w:pPr>
              <w:pStyle w:val="NoSpacing"/>
              <w:rPr>
                <w:color w:val="000000"/>
                <w:lang w:val="en-IN" w:eastAsia="en-IN"/>
              </w:rPr>
            </w:pPr>
          </w:p>
        </w:tc>
      </w:tr>
      <w:tr w:rsidR="00CB42B7" w:rsidRPr="00FE26D9" w14:paraId="2B1E78A5"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tcPr>
          <w:p w14:paraId="41D1D1BE" w14:textId="77777777" w:rsidR="00CB42B7" w:rsidRPr="00FE26D9" w:rsidRDefault="00CB42B7" w:rsidP="00FE26D9">
            <w:pPr>
              <w:widowControl/>
              <w:autoSpaceDE/>
              <w:autoSpaceDN/>
              <w:rPr>
                <w:color w:val="000000"/>
                <w:lang w:val="en-IN" w:eastAsia="en-IN"/>
              </w:rPr>
            </w:pPr>
          </w:p>
        </w:tc>
        <w:tc>
          <w:tcPr>
            <w:tcW w:w="2939" w:type="dxa"/>
            <w:gridSpan w:val="5"/>
            <w:tcBorders>
              <w:top w:val="nil"/>
              <w:left w:val="nil"/>
              <w:right w:val="nil"/>
            </w:tcBorders>
            <w:shd w:val="clear" w:color="auto" w:fill="auto"/>
            <w:noWrap/>
            <w:vAlign w:val="bottom"/>
          </w:tcPr>
          <w:p w14:paraId="29684110" w14:textId="77777777" w:rsidR="00CB42B7" w:rsidRPr="00CB42B7" w:rsidRDefault="00CB42B7" w:rsidP="00CB42B7">
            <w:pPr>
              <w:pStyle w:val="NoSpacing"/>
              <w:jc w:val="right"/>
              <w:rPr>
                <w:color w:val="000000"/>
                <w:lang w:val="en-IN" w:eastAsia="en-IN"/>
              </w:rPr>
            </w:pPr>
          </w:p>
        </w:tc>
        <w:tc>
          <w:tcPr>
            <w:tcW w:w="2819" w:type="dxa"/>
            <w:gridSpan w:val="4"/>
            <w:tcBorders>
              <w:top w:val="nil"/>
              <w:left w:val="nil"/>
              <w:right w:val="nil"/>
            </w:tcBorders>
            <w:shd w:val="clear" w:color="auto" w:fill="auto"/>
            <w:noWrap/>
            <w:vAlign w:val="bottom"/>
          </w:tcPr>
          <w:p w14:paraId="1F94D0E4" w14:textId="77777777" w:rsidR="00CB42B7" w:rsidRPr="00CB42B7" w:rsidRDefault="00CB42B7" w:rsidP="00CB42B7">
            <w:pPr>
              <w:pStyle w:val="NoSpacing"/>
              <w:rPr>
                <w:color w:val="000000"/>
                <w:lang w:val="en-IN" w:eastAsia="en-IN"/>
              </w:rPr>
            </w:pPr>
          </w:p>
        </w:tc>
      </w:tr>
      <w:tr w:rsidR="006D1AB7" w:rsidRPr="00FE26D9" w14:paraId="25D63ACC"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6DA4AE0A" w14:textId="77777777" w:rsidR="00CB42B7" w:rsidRPr="00FE26D9" w:rsidRDefault="00CB42B7" w:rsidP="00CB42B7">
            <w:pPr>
              <w:widowControl/>
              <w:autoSpaceDE/>
              <w:autoSpaceDN/>
              <w:rPr>
                <w:i/>
                <w:iCs/>
                <w:color w:val="000000"/>
                <w:lang w:val="en-IN" w:eastAsia="en-IN"/>
              </w:rPr>
            </w:pPr>
            <w:r w:rsidRPr="00FE26D9">
              <w:rPr>
                <w:i/>
                <w:iCs/>
                <w:color w:val="000000"/>
                <w:lang w:val="en-IN" w:eastAsia="en-IN"/>
              </w:rPr>
              <w:lastRenderedPageBreak/>
              <w:t>Judge Positions</w:t>
            </w:r>
          </w:p>
        </w:tc>
        <w:tc>
          <w:tcPr>
            <w:tcW w:w="2939" w:type="dxa"/>
            <w:gridSpan w:val="5"/>
            <w:tcBorders>
              <w:top w:val="nil"/>
              <w:left w:val="nil"/>
              <w:bottom w:val="single" w:sz="4" w:space="0" w:color="auto"/>
              <w:right w:val="nil"/>
            </w:tcBorders>
            <w:shd w:val="clear" w:color="auto" w:fill="auto"/>
            <w:noWrap/>
            <w:vAlign w:val="bottom"/>
            <w:hideMark/>
          </w:tcPr>
          <w:p w14:paraId="61B596E3" w14:textId="658A32F0" w:rsidR="00CB42B7" w:rsidRPr="00CB42B7" w:rsidRDefault="00CB42B7" w:rsidP="00CB42B7">
            <w:pPr>
              <w:pStyle w:val="NoSpacing"/>
              <w:rPr>
                <w:color w:val="000000"/>
                <w:lang w:val="en-IN" w:eastAsia="en-IN"/>
              </w:rPr>
            </w:pPr>
            <w:r>
              <w:rPr>
                <w:color w:val="000000"/>
                <w:lang w:val="en-IN" w:eastAsia="en-IN"/>
              </w:rPr>
              <w:t># Observations</w:t>
            </w:r>
          </w:p>
        </w:tc>
        <w:tc>
          <w:tcPr>
            <w:tcW w:w="2819" w:type="dxa"/>
            <w:gridSpan w:val="4"/>
            <w:tcBorders>
              <w:top w:val="nil"/>
              <w:left w:val="nil"/>
              <w:bottom w:val="single" w:sz="4" w:space="0" w:color="auto"/>
              <w:right w:val="nil"/>
            </w:tcBorders>
            <w:shd w:val="clear" w:color="auto" w:fill="auto"/>
            <w:noWrap/>
            <w:vAlign w:val="bottom"/>
            <w:hideMark/>
          </w:tcPr>
          <w:p w14:paraId="0E6A79FB" w14:textId="6D10EF9F" w:rsidR="00CB42B7" w:rsidRPr="00CB42B7" w:rsidRDefault="00CB42B7" w:rsidP="00CB42B7">
            <w:pPr>
              <w:pStyle w:val="NoSpacing"/>
              <w:rPr>
                <w:lang w:val="en-IN" w:eastAsia="en-IN"/>
              </w:rPr>
            </w:pPr>
            <w:r>
              <w:rPr>
                <w:color w:val="000000"/>
                <w:lang w:val="en-IN" w:eastAsia="en-IN"/>
              </w:rPr>
              <w:t>Type of Judge</w:t>
            </w:r>
          </w:p>
        </w:tc>
      </w:tr>
      <w:tr w:rsidR="006D1AB7" w:rsidRPr="00FE26D9" w14:paraId="5AD0302A"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269A68D2" w14:textId="77777777" w:rsidR="00CB42B7" w:rsidRPr="00FE26D9" w:rsidRDefault="00CB42B7" w:rsidP="00CB42B7">
            <w:pPr>
              <w:widowControl/>
              <w:autoSpaceDE/>
              <w:autoSpaceDN/>
              <w:rPr>
                <w:sz w:val="20"/>
                <w:szCs w:val="20"/>
                <w:lang w:val="en-IN" w:eastAsia="en-IN"/>
              </w:rPr>
            </w:pPr>
          </w:p>
        </w:tc>
        <w:tc>
          <w:tcPr>
            <w:tcW w:w="2939" w:type="dxa"/>
            <w:gridSpan w:val="5"/>
            <w:tcBorders>
              <w:top w:val="single" w:sz="4" w:space="0" w:color="auto"/>
              <w:left w:val="nil"/>
              <w:bottom w:val="nil"/>
              <w:right w:val="nil"/>
            </w:tcBorders>
            <w:shd w:val="clear" w:color="auto" w:fill="auto"/>
            <w:noWrap/>
            <w:vAlign w:val="bottom"/>
            <w:hideMark/>
          </w:tcPr>
          <w:p w14:paraId="0CB4096C" w14:textId="77777777" w:rsidR="00CB42B7" w:rsidRPr="00CB42B7" w:rsidRDefault="00CB42B7" w:rsidP="00CB42B7">
            <w:pPr>
              <w:pStyle w:val="NoSpacing"/>
              <w:jc w:val="right"/>
              <w:rPr>
                <w:color w:val="000000"/>
                <w:lang w:val="en-IN" w:eastAsia="en-IN"/>
              </w:rPr>
            </w:pPr>
            <w:r w:rsidRPr="00CB42B7">
              <w:rPr>
                <w:color w:val="000000"/>
                <w:lang w:val="en-IN" w:eastAsia="en-IN"/>
              </w:rPr>
              <w:t>5100</w:t>
            </w:r>
          </w:p>
        </w:tc>
        <w:tc>
          <w:tcPr>
            <w:tcW w:w="2819" w:type="dxa"/>
            <w:gridSpan w:val="4"/>
            <w:tcBorders>
              <w:top w:val="single" w:sz="4" w:space="0" w:color="auto"/>
              <w:left w:val="nil"/>
              <w:bottom w:val="nil"/>
              <w:right w:val="nil"/>
            </w:tcBorders>
            <w:shd w:val="clear" w:color="auto" w:fill="auto"/>
            <w:noWrap/>
            <w:vAlign w:val="bottom"/>
            <w:hideMark/>
          </w:tcPr>
          <w:p w14:paraId="71DA327F" w14:textId="77777777" w:rsidR="00CB42B7" w:rsidRPr="00CB42B7" w:rsidRDefault="00CB42B7" w:rsidP="00CB42B7">
            <w:pPr>
              <w:pStyle w:val="NoSpacing"/>
              <w:rPr>
                <w:color w:val="000000"/>
                <w:lang w:val="en-IN" w:eastAsia="en-IN"/>
              </w:rPr>
            </w:pPr>
            <w:r w:rsidRPr="00CB42B7">
              <w:rPr>
                <w:color w:val="000000"/>
                <w:lang w:val="en-IN" w:eastAsia="en-IN"/>
              </w:rPr>
              <w:t>district and sessions court</w:t>
            </w:r>
          </w:p>
        </w:tc>
      </w:tr>
      <w:tr w:rsidR="00CB42B7" w:rsidRPr="00FE26D9" w14:paraId="6D54632B"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7FD4A92D" w14:textId="77777777" w:rsidR="00CB42B7" w:rsidRPr="00FE26D9" w:rsidRDefault="00CB42B7" w:rsidP="00CB42B7">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vAlign w:val="bottom"/>
            <w:hideMark/>
          </w:tcPr>
          <w:p w14:paraId="1C6B0F19" w14:textId="77777777" w:rsidR="00CB42B7" w:rsidRPr="00CB42B7" w:rsidRDefault="00CB42B7" w:rsidP="00CB42B7">
            <w:pPr>
              <w:pStyle w:val="NoSpacing"/>
              <w:jc w:val="right"/>
              <w:rPr>
                <w:color w:val="000000"/>
                <w:lang w:val="en-IN" w:eastAsia="en-IN"/>
              </w:rPr>
            </w:pPr>
            <w:r w:rsidRPr="00CB42B7">
              <w:rPr>
                <w:color w:val="000000"/>
                <w:lang w:val="en-IN" w:eastAsia="en-IN"/>
              </w:rPr>
              <w:t>1651</w:t>
            </w:r>
          </w:p>
        </w:tc>
        <w:tc>
          <w:tcPr>
            <w:tcW w:w="2819" w:type="dxa"/>
            <w:gridSpan w:val="4"/>
            <w:tcBorders>
              <w:top w:val="nil"/>
              <w:left w:val="nil"/>
              <w:bottom w:val="nil"/>
              <w:right w:val="nil"/>
            </w:tcBorders>
            <w:shd w:val="clear" w:color="auto" w:fill="auto"/>
            <w:noWrap/>
            <w:vAlign w:val="bottom"/>
            <w:hideMark/>
          </w:tcPr>
          <w:p w14:paraId="522EED59" w14:textId="77777777" w:rsidR="00CB42B7" w:rsidRPr="00CB42B7" w:rsidRDefault="00CB42B7" w:rsidP="006D1AB7">
            <w:pPr>
              <w:pStyle w:val="NoSpacing"/>
              <w:rPr>
                <w:color w:val="000000"/>
                <w:lang w:val="en-IN" w:eastAsia="en-IN"/>
              </w:rPr>
            </w:pPr>
            <w:r w:rsidRPr="00CB42B7">
              <w:rPr>
                <w:color w:val="000000"/>
                <w:lang w:val="en-IN" w:eastAsia="en-IN"/>
              </w:rPr>
              <w:t>civil judge senior division</w:t>
            </w:r>
          </w:p>
        </w:tc>
      </w:tr>
      <w:tr w:rsidR="00CB42B7" w:rsidRPr="00FE26D9" w14:paraId="115F168E"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596D61C7" w14:textId="77777777" w:rsidR="00CB42B7" w:rsidRPr="00FE26D9" w:rsidRDefault="00CB42B7" w:rsidP="00CB42B7">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hideMark/>
          </w:tcPr>
          <w:p w14:paraId="544D048E" w14:textId="77777777" w:rsidR="00CB42B7" w:rsidRPr="00CB42B7" w:rsidRDefault="00CB42B7" w:rsidP="00CB42B7">
            <w:pPr>
              <w:pStyle w:val="NoSpacing"/>
              <w:jc w:val="right"/>
              <w:rPr>
                <w:color w:val="000000"/>
                <w:lang w:val="en-IN" w:eastAsia="en-IN"/>
              </w:rPr>
            </w:pPr>
            <w:r w:rsidRPr="00CB42B7">
              <w:rPr>
                <w:color w:val="000000"/>
                <w:lang w:val="en-IN" w:eastAsia="en-IN"/>
              </w:rPr>
              <w:t>1454</w:t>
            </w:r>
          </w:p>
        </w:tc>
        <w:tc>
          <w:tcPr>
            <w:tcW w:w="2819" w:type="dxa"/>
            <w:gridSpan w:val="4"/>
            <w:tcBorders>
              <w:top w:val="nil"/>
              <w:left w:val="nil"/>
              <w:bottom w:val="nil"/>
              <w:right w:val="nil"/>
            </w:tcBorders>
            <w:shd w:val="clear" w:color="auto" w:fill="auto"/>
            <w:noWrap/>
            <w:vAlign w:val="bottom"/>
            <w:hideMark/>
          </w:tcPr>
          <w:p w14:paraId="29B49FB1" w14:textId="77777777" w:rsidR="00CB42B7" w:rsidRPr="00CB42B7" w:rsidRDefault="00CB42B7" w:rsidP="00CB42B7">
            <w:pPr>
              <w:pStyle w:val="NoSpacing"/>
              <w:rPr>
                <w:color w:val="000000"/>
                <w:lang w:val="en-IN" w:eastAsia="en-IN"/>
              </w:rPr>
            </w:pPr>
            <w:r w:rsidRPr="00CB42B7">
              <w:rPr>
                <w:color w:val="000000"/>
                <w:lang w:val="en-IN" w:eastAsia="en-IN"/>
              </w:rPr>
              <w:t xml:space="preserve">chief metropolitan magistrate </w:t>
            </w:r>
          </w:p>
        </w:tc>
      </w:tr>
      <w:tr w:rsidR="006D1AB7" w:rsidRPr="00FE26D9" w14:paraId="1316251A" w14:textId="77777777" w:rsidTr="006D1AB7">
        <w:trPr>
          <w:gridAfter w:val="3"/>
          <w:wAfter w:w="3165" w:type="dxa"/>
          <w:trHeight w:val="290"/>
          <w:jc w:val="center"/>
        </w:trPr>
        <w:tc>
          <w:tcPr>
            <w:tcW w:w="2506" w:type="dxa"/>
            <w:tcBorders>
              <w:top w:val="nil"/>
              <w:left w:val="nil"/>
              <w:right w:val="nil"/>
            </w:tcBorders>
            <w:shd w:val="clear" w:color="auto" w:fill="auto"/>
            <w:noWrap/>
            <w:vAlign w:val="bottom"/>
            <w:hideMark/>
          </w:tcPr>
          <w:p w14:paraId="07F1037B" w14:textId="77777777" w:rsidR="00CB42B7" w:rsidRPr="00FE26D9" w:rsidRDefault="00CB42B7" w:rsidP="00CB42B7">
            <w:pPr>
              <w:widowControl/>
              <w:autoSpaceDE/>
              <w:autoSpaceDN/>
              <w:rPr>
                <w:color w:val="000000"/>
                <w:lang w:val="en-IN" w:eastAsia="en-IN"/>
              </w:rPr>
            </w:pPr>
          </w:p>
        </w:tc>
        <w:tc>
          <w:tcPr>
            <w:tcW w:w="2939" w:type="dxa"/>
            <w:gridSpan w:val="5"/>
            <w:tcBorders>
              <w:top w:val="nil"/>
              <w:left w:val="nil"/>
              <w:right w:val="nil"/>
            </w:tcBorders>
            <w:shd w:val="clear" w:color="auto" w:fill="auto"/>
            <w:noWrap/>
            <w:hideMark/>
          </w:tcPr>
          <w:p w14:paraId="441F3A82" w14:textId="77777777" w:rsidR="00CB42B7" w:rsidRPr="00CB42B7" w:rsidRDefault="00CB42B7" w:rsidP="00CB42B7">
            <w:pPr>
              <w:pStyle w:val="NoSpacing"/>
              <w:jc w:val="right"/>
              <w:rPr>
                <w:color w:val="000000"/>
                <w:lang w:val="en-IN" w:eastAsia="en-IN"/>
              </w:rPr>
            </w:pPr>
            <w:r w:rsidRPr="00CB42B7">
              <w:rPr>
                <w:color w:val="000000"/>
                <w:lang w:val="en-IN" w:eastAsia="en-IN"/>
              </w:rPr>
              <w:t>1005</w:t>
            </w:r>
          </w:p>
        </w:tc>
        <w:tc>
          <w:tcPr>
            <w:tcW w:w="2819" w:type="dxa"/>
            <w:gridSpan w:val="4"/>
            <w:tcBorders>
              <w:top w:val="nil"/>
              <w:left w:val="nil"/>
              <w:right w:val="nil"/>
            </w:tcBorders>
            <w:shd w:val="clear" w:color="auto" w:fill="auto"/>
            <w:noWrap/>
            <w:vAlign w:val="bottom"/>
            <w:hideMark/>
          </w:tcPr>
          <w:p w14:paraId="7D14693C" w14:textId="77777777" w:rsidR="00CB42B7" w:rsidRPr="00CB42B7" w:rsidRDefault="00CB42B7" w:rsidP="00CB42B7">
            <w:pPr>
              <w:pStyle w:val="NoSpacing"/>
              <w:rPr>
                <w:color w:val="000000"/>
                <w:lang w:val="en-IN" w:eastAsia="en-IN"/>
              </w:rPr>
            </w:pPr>
            <w:r w:rsidRPr="00CB42B7">
              <w:rPr>
                <w:color w:val="000000"/>
                <w:lang w:val="en-IN" w:eastAsia="en-IN"/>
              </w:rPr>
              <w:t>principal judge family court</w:t>
            </w:r>
          </w:p>
        </w:tc>
      </w:tr>
      <w:tr w:rsidR="006D1AB7" w:rsidRPr="00FE26D9" w14:paraId="3A5FC03C" w14:textId="77777777" w:rsidTr="006D1AB7">
        <w:trPr>
          <w:gridAfter w:val="3"/>
          <w:wAfter w:w="3165" w:type="dxa"/>
          <w:trHeight w:val="290"/>
          <w:jc w:val="center"/>
        </w:trPr>
        <w:tc>
          <w:tcPr>
            <w:tcW w:w="2506" w:type="dxa"/>
            <w:tcBorders>
              <w:top w:val="nil"/>
              <w:left w:val="nil"/>
              <w:bottom w:val="nil"/>
              <w:right w:val="nil"/>
            </w:tcBorders>
            <w:shd w:val="clear" w:color="auto" w:fill="auto"/>
            <w:noWrap/>
            <w:vAlign w:val="bottom"/>
            <w:hideMark/>
          </w:tcPr>
          <w:p w14:paraId="539A0520" w14:textId="77777777" w:rsidR="00CB42B7" w:rsidRPr="00FE26D9" w:rsidRDefault="00CB42B7" w:rsidP="00CB42B7">
            <w:pPr>
              <w:widowControl/>
              <w:autoSpaceDE/>
              <w:autoSpaceDN/>
              <w:rPr>
                <w:color w:val="000000"/>
                <w:lang w:val="en-IN" w:eastAsia="en-IN"/>
              </w:rPr>
            </w:pPr>
          </w:p>
        </w:tc>
        <w:tc>
          <w:tcPr>
            <w:tcW w:w="2939" w:type="dxa"/>
            <w:gridSpan w:val="5"/>
            <w:tcBorders>
              <w:top w:val="nil"/>
              <w:left w:val="nil"/>
              <w:bottom w:val="nil"/>
              <w:right w:val="nil"/>
            </w:tcBorders>
            <w:shd w:val="clear" w:color="auto" w:fill="auto"/>
            <w:noWrap/>
            <w:hideMark/>
          </w:tcPr>
          <w:p w14:paraId="56C37CAF" w14:textId="77777777" w:rsidR="00CB42B7" w:rsidRPr="00CB42B7" w:rsidRDefault="00CB42B7" w:rsidP="00CB42B7">
            <w:pPr>
              <w:pStyle w:val="NoSpacing"/>
              <w:jc w:val="right"/>
              <w:rPr>
                <w:color w:val="000000"/>
                <w:lang w:val="en-IN" w:eastAsia="en-IN"/>
              </w:rPr>
            </w:pPr>
            <w:r w:rsidRPr="00CB42B7">
              <w:rPr>
                <w:color w:val="000000"/>
                <w:lang w:val="en-IN" w:eastAsia="en-IN"/>
              </w:rPr>
              <w:t>217</w:t>
            </w:r>
          </w:p>
        </w:tc>
        <w:tc>
          <w:tcPr>
            <w:tcW w:w="2819" w:type="dxa"/>
            <w:gridSpan w:val="4"/>
            <w:tcBorders>
              <w:top w:val="nil"/>
              <w:left w:val="nil"/>
              <w:bottom w:val="nil"/>
              <w:right w:val="nil"/>
            </w:tcBorders>
            <w:shd w:val="clear" w:color="auto" w:fill="auto"/>
            <w:noWrap/>
            <w:vAlign w:val="bottom"/>
            <w:hideMark/>
          </w:tcPr>
          <w:p w14:paraId="24931A2C" w14:textId="7470485F" w:rsidR="00CB42B7" w:rsidRPr="00CB42B7" w:rsidRDefault="00CB42B7" w:rsidP="00CB42B7">
            <w:pPr>
              <w:pStyle w:val="NoSpacing"/>
              <w:rPr>
                <w:color w:val="000000"/>
                <w:lang w:val="en-IN" w:eastAsia="en-IN"/>
              </w:rPr>
            </w:pPr>
            <w:r w:rsidRPr="00CB42B7">
              <w:rPr>
                <w:color w:val="000000"/>
                <w:lang w:val="en-IN" w:eastAsia="en-IN"/>
              </w:rPr>
              <w:t>presiding officer, labour court and industrial disputes</w:t>
            </w:r>
          </w:p>
        </w:tc>
      </w:tr>
      <w:tr w:rsidR="006D1AB7" w:rsidRPr="00FE26D9" w14:paraId="0E7332A1" w14:textId="77777777" w:rsidTr="006D1AB7">
        <w:trPr>
          <w:gridAfter w:val="3"/>
          <w:wAfter w:w="3165" w:type="dxa"/>
          <w:trHeight w:val="290"/>
          <w:jc w:val="center"/>
        </w:trPr>
        <w:tc>
          <w:tcPr>
            <w:tcW w:w="2506" w:type="dxa"/>
            <w:tcBorders>
              <w:top w:val="nil"/>
              <w:left w:val="nil"/>
              <w:bottom w:val="single" w:sz="4" w:space="0" w:color="auto"/>
              <w:right w:val="nil"/>
            </w:tcBorders>
            <w:shd w:val="clear" w:color="auto" w:fill="auto"/>
            <w:noWrap/>
            <w:vAlign w:val="bottom"/>
          </w:tcPr>
          <w:p w14:paraId="43AEEA70" w14:textId="77777777" w:rsidR="006D1AB7" w:rsidRPr="00FE26D9" w:rsidRDefault="006D1AB7" w:rsidP="00CB42B7">
            <w:pPr>
              <w:widowControl/>
              <w:autoSpaceDE/>
              <w:autoSpaceDN/>
              <w:rPr>
                <w:color w:val="000000"/>
                <w:lang w:val="en-IN" w:eastAsia="en-IN"/>
              </w:rPr>
            </w:pPr>
          </w:p>
        </w:tc>
        <w:tc>
          <w:tcPr>
            <w:tcW w:w="2939" w:type="dxa"/>
            <w:gridSpan w:val="5"/>
            <w:tcBorders>
              <w:top w:val="nil"/>
              <w:left w:val="nil"/>
              <w:bottom w:val="single" w:sz="4" w:space="0" w:color="auto"/>
              <w:right w:val="nil"/>
            </w:tcBorders>
            <w:shd w:val="clear" w:color="auto" w:fill="auto"/>
            <w:noWrap/>
          </w:tcPr>
          <w:p w14:paraId="2864B1B7" w14:textId="77777777" w:rsidR="006D1AB7" w:rsidRPr="00CB42B7" w:rsidRDefault="006D1AB7" w:rsidP="00CB42B7">
            <w:pPr>
              <w:pStyle w:val="NoSpacing"/>
              <w:jc w:val="right"/>
              <w:rPr>
                <w:color w:val="000000"/>
                <w:lang w:val="en-IN" w:eastAsia="en-IN"/>
              </w:rPr>
            </w:pPr>
          </w:p>
        </w:tc>
        <w:tc>
          <w:tcPr>
            <w:tcW w:w="2819" w:type="dxa"/>
            <w:gridSpan w:val="4"/>
            <w:tcBorders>
              <w:top w:val="nil"/>
              <w:left w:val="nil"/>
              <w:bottom w:val="single" w:sz="4" w:space="0" w:color="auto"/>
              <w:right w:val="nil"/>
            </w:tcBorders>
            <w:shd w:val="clear" w:color="auto" w:fill="auto"/>
            <w:noWrap/>
            <w:vAlign w:val="bottom"/>
          </w:tcPr>
          <w:p w14:paraId="3A0289F4" w14:textId="77777777" w:rsidR="006D1AB7" w:rsidRPr="00CB42B7" w:rsidRDefault="006D1AB7" w:rsidP="00CB42B7">
            <w:pPr>
              <w:pStyle w:val="NoSpacing"/>
              <w:rPr>
                <w:color w:val="000000"/>
                <w:lang w:val="en-IN" w:eastAsia="en-IN"/>
              </w:rPr>
            </w:pPr>
          </w:p>
        </w:tc>
      </w:tr>
      <w:tr w:rsidR="006D1AB7" w:rsidRPr="00FE26D9" w14:paraId="0D8292E0" w14:textId="77777777" w:rsidTr="006D1AB7">
        <w:trPr>
          <w:gridAfter w:val="3"/>
          <w:wAfter w:w="3165" w:type="dxa"/>
          <w:trHeight w:val="290"/>
          <w:jc w:val="center"/>
        </w:trPr>
        <w:tc>
          <w:tcPr>
            <w:tcW w:w="2506" w:type="dxa"/>
            <w:tcBorders>
              <w:top w:val="single" w:sz="4" w:space="0" w:color="auto"/>
              <w:left w:val="nil"/>
              <w:right w:val="nil"/>
            </w:tcBorders>
            <w:shd w:val="clear" w:color="auto" w:fill="auto"/>
            <w:noWrap/>
            <w:vAlign w:val="bottom"/>
          </w:tcPr>
          <w:p w14:paraId="17F2C4CE" w14:textId="77777777" w:rsidR="006D1AB7" w:rsidRPr="00FE26D9" w:rsidRDefault="006D1AB7" w:rsidP="00CB42B7">
            <w:pPr>
              <w:widowControl/>
              <w:autoSpaceDE/>
              <w:autoSpaceDN/>
              <w:rPr>
                <w:color w:val="000000"/>
                <w:lang w:val="en-IN" w:eastAsia="en-IN"/>
              </w:rPr>
            </w:pPr>
          </w:p>
        </w:tc>
        <w:tc>
          <w:tcPr>
            <w:tcW w:w="2939" w:type="dxa"/>
            <w:gridSpan w:val="5"/>
            <w:tcBorders>
              <w:top w:val="single" w:sz="4" w:space="0" w:color="auto"/>
              <w:left w:val="nil"/>
              <w:right w:val="nil"/>
            </w:tcBorders>
            <w:shd w:val="clear" w:color="auto" w:fill="auto"/>
            <w:noWrap/>
          </w:tcPr>
          <w:p w14:paraId="5774C004" w14:textId="77777777" w:rsidR="006D1AB7" w:rsidRPr="00CB42B7" w:rsidRDefault="006D1AB7" w:rsidP="00CB42B7">
            <w:pPr>
              <w:pStyle w:val="NoSpacing"/>
              <w:jc w:val="right"/>
              <w:rPr>
                <w:color w:val="000000"/>
                <w:lang w:val="en-IN" w:eastAsia="en-IN"/>
              </w:rPr>
            </w:pPr>
          </w:p>
        </w:tc>
        <w:tc>
          <w:tcPr>
            <w:tcW w:w="2819" w:type="dxa"/>
            <w:gridSpan w:val="4"/>
            <w:tcBorders>
              <w:top w:val="single" w:sz="4" w:space="0" w:color="auto"/>
              <w:left w:val="nil"/>
              <w:right w:val="nil"/>
            </w:tcBorders>
            <w:shd w:val="clear" w:color="auto" w:fill="auto"/>
            <w:noWrap/>
            <w:vAlign w:val="bottom"/>
          </w:tcPr>
          <w:p w14:paraId="34F74799" w14:textId="1B41272E" w:rsidR="006D1AB7" w:rsidRPr="00CB42B7" w:rsidRDefault="006D1AB7" w:rsidP="00CB42B7">
            <w:pPr>
              <w:pStyle w:val="NoSpacing"/>
              <w:rPr>
                <w:color w:val="000000"/>
                <w:lang w:val="en-IN" w:eastAsia="en-IN"/>
              </w:rPr>
            </w:pPr>
            <w:r>
              <w:rPr>
                <w:color w:val="000000"/>
                <w:lang w:val="en-IN" w:eastAsia="en-IN"/>
              </w:rPr>
              <w:t>Source: e-Courts, CPCB</w:t>
            </w:r>
          </w:p>
        </w:tc>
      </w:tr>
    </w:tbl>
    <w:p w14:paraId="05C1ED73" w14:textId="25F75453" w:rsidR="00490FD7" w:rsidRDefault="00FE26D9" w:rsidP="00FE5C65">
      <w:pPr>
        <w:spacing w:line="276" w:lineRule="auto"/>
        <w:rPr>
          <w:sz w:val="12"/>
        </w:rPr>
      </w:pPr>
      <w:r>
        <w:br/>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29"/>
        <w:gridCol w:w="3300"/>
        <w:gridCol w:w="3387"/>
      </w:tblGrid>
      <w:tr w:rsidR="00FE5C65" w14:paraId="4C68876F" w14:textId="77777777" w:rsidTr="006D1AB7">
        <w:trPr>
          <w:jc w:val="center"/>
        </w:trPr>
        <w:tc>
          <w:tcPr>
            <w:tcW w:w="10016" w:type="dxa"/>
            <w:gridSpan w:val="3"/>
            <w:tcBorders>
              <w:bottom w:val="single" w:sz="4" w:space="0" w:color="auto"/>
            </w:tcBorders>
          </w:tcPr>
          <w:p w14:paraId="2C8D865E" w14:textId="51FFA99A" w:rsidR="00FE5C65" w:rsidRDefault="00FE5C65" w:rsidP="00FE5C65">
            <w:pPr>
              <w:pStyle w:val="Heading3"/>
              <w:ind w:left="0"/>
              <w:jc w:val="center"/>
            </w:pPr>
            <w:r>
              <w:t>Table 2: Distinction between Types of Judges</w:t>
            </w:r>
          </w:p>
        </w:tc>
      </w:tr>
      <w:tr w:rsidR="00FE5C65" w14:paraId="37E81BB1" w14:textId="77777777" w:rsidTr="006D1AB7">
        <w:trPr>
          <w:jc w:val="center"/>
        </w:trPr>
        <w:tc>
          <w:tcPr>
            <w:tcW w:w="3329" w:type="dxa"/>
            <w:tcBorders>
              <w:top w:val="single" w:sz="4" w:space="0" w:color="auto"/>
            </w:tcBorders>
          </w:tcPr>
          <w:p w14:paraId="4D650823" w14:textId="39B13557" w:rsidR="00FE5C65" w:rsidRPr="003A42ED" w:rsidRDefault="00FE5C65" w:rsidP="003A42ED">
            <w:pPr>
              <w:rPr>
                <w:b/>
                <w:bCs/>
              </w:rPr>
            </w:pPr>
            <w:r w:rsidRPr="003A42ED">
              <w:rPr>
                <w:b/>
                <w:bCs/>
              </w:rPr>
              <w:t>Judge Position</w:t>
            </w:r>
          </w:p>
        </w:tc>
        <w:tc>
          <w:tcPr>
            <w:tcW w:w="3300" w:type="dxa"/>
            <w:tcBorders>
              <w:top w:val="single" w:sz="4" w:space="0" w:color="auto"/>
            </w:tcBorders>
          </w:tcPr>
          <w:p w14:paraId="37F5FB89" w14:textId="5E449AEF" w:rsidR="00FE5C65" w:rsidRPr="003A42ED" w:rsidRDefault="00FE5C65" w:rsidP="003A42ED">
            <w:pPr>
              <w:rPr>
                <w:b/>
                <w:bCs/>
              </w:rPr>
            </w:pPr>
            <w:r w:rsidRPr="003A42ED">
              <w:rPr>
                <w:b/>
                <w:bCs/>
              </w:rPr>
              <w:t>Seniority level</w:t>
            </w:r>
          </w:p>
        </w:tc>
        <w:tc>
          <w:tcPr>
            <w:tcW w:w="3387" w:type="dxa"/>
            <w:tcBorders>
              <w:top w:val="single" w:sz="4" w:space="0" w:color="auto"/>
            </w:tcBorders>
          </w:tcPr>
          <w:p w14:paraId="72BF81EB" w14:textId="157C4EA8" w:rsidR="00FE5C65" w:rsidRPr="003A42ED" w:rsidRDefault="00FE5C65" w:rsidP="003A42ED">
            <w:pPr>
              <w:rPr>
                <w:b/>
                <w:bCs/>
              </w:rPr>
            </w:pPr>
            <w:r w:rsidRPr="003A42ED">
              <w:rPr>
                <w:b/>
                <w:bCs/>
              </w:rPr>
              <w:t>Cases heard</w:t>
            </w:r>
          </w:p>
        </w:tc>
      </w:tr>
      <w:tr w:rsidR="00FE5C65" w14:paraId="453CCC2B" w14:textId="77777777" w:rsidTr="006D1AB7">
        <w:trPr>
          <w:jc w:val="center"/>
        </w:trPr>
        <w:tc>
          <w:tcPr>
            <w:tcW w:w="3329" w:type="dxa"/>
          </w:tcPr>
          <w:p w14:paraId="5E7B30F0" w14:textId="4ABD08DC" w:rsidR="00FE5C65" w:rsidRPr="003A42ED" w:rsidRDefault="00FE5C65" w:rsidP="003A42ED">
            <w:pPr>
              <w:rPr>
                <w:b/>
                <w:bCs/>
              </w:rPr>
            </w:pPr>
            <w:r w:rsidRPr="003A42ED">
              <w:t>Chief Metropolitan Magistrate</w:t>
            </w:r>
          </w:p>
        </w:tc>
        <w:tc>
          <w:tcPr>
            <w:tcW w:w="3300" w:type="dxa"/>
          </w:tcPr>
          <w:p w14:paraId="371146A6" w14:textId="121FF974" w:rsidR="00FE5C65" w:rsidRPr="003A42ED" w:rsidRDefault="00FE5C65" w:rsidP="003A42ED">
            <w:pPr>
              <w:rPr>
                <w:b/>
                <w:bCs/>
              </w:rPr>
            </w:pPr>
            <w:r w:rsidRPr="003A42ED">
              <w:t>Low to high</w:t>
            </w:r>
          </w:p>
        </w:tc>
        <w:tc>
          <w:tcPr>
            <w:tcW w:w="3387" w:type="dxa"/>
          </w:tcPr>
          <w:p w14:paraId="2CD01184" w14:textId="02C674CA" w:rsidR="00FE5C65" w:rsidRPr="003A42ED" w:rsidRDefault="00FE5C65" w:rsidP="003A42ED">
            <w:pPr>
              <w:rPr>
                <w:b/>
                <w:bCs/>
              </w:rPr>
            </w:pPr>
            <w:r w:rsidRPr="003A42ED">
              <w:t>Complex criminal cases</w:t>
            </w:r>
          </w:p>
        </w:tc>
      </w:tr>
      <w:tr w:rsidR="00FE5C65" w14:paraId="7D0F5D83" w14:textId="77777777" w:rsidTr="006D1AB7">
        <w:trPr>
          <w:jc w:val="center"/>
        </w:trPr>
        <w:tc>
          <w:tcPr>
            <w:tcW w:w="3329" w:type="dxa"/>
          </w:tcPr>
          <w:p w14:paraId="487177F2" w14:textId="3868101F" w:rsidR="00FE5C65" w:rsidRPr="003A42ED" w:rsidRDefault="00FE5C65" w:rsidP="003A42ED">
            <w:pPr>
              <w:rPr>
                <w:b/>
                <w:bCs/>
              </w:rPr>
            </w:pPr>
            <w:r w:rsidRPr="003A42ED">
              <w:t>Civil Judge (senior division)</w:t>
            </w:r>
          </w:p>
        </w:tc>
        <w:tc>
          <w:tcPr>
            <w:tcW w:w="3300" w:type="dxa"/>
          </w:tcPr>
          <w:p w14:paraId="44134F16" w14:textId="33E6AB5E" w:rsidR="00FE5C65" w:rsidRPr="003A42ED" w:rsidRDefault="00FE5C65" w:rsidP="003A42ED">
            <w:pPr>
              <w:rPr>
                <w:b/>
                <w:bCs/>
              </w:rPr>
            </w:pPr>
            <w:r w:rsidRPr="003A42ED">
              <w:t>High</w:t>
            </w:r>
          </w:p>
        </w:tc>
        <w:tc>
          <w:tcPr>
            <w:tcW w:w="3387" w:type="dxa"/>
          </w:tcPr>
          <w:p w14:paraId="33CDE678" w14:textId="200EBB93" w:rsidR="00FE5C65" w:rsidRPr="003A42ED" w:rsidRDefault="00FE5C65" w:rsidP="003A42ED">
            <w:pPr>
              <w:rPr>
                <w:b/>
                <w:bCs/>
              </w:rPr>
            </w:pPr>
            <w:r w:rsidRPr="003A42ED">
              <w:t>Civil cases of high value</w:t>
            </w:r>
          </w:p>
        </w:tc>
      </w:tr>
      <w:tr w:rsidR="00FE5C65" w14:paraId="5AEA190F" w14:textId="77777777" w:rsidTr="006D1AB7">
        <w:trPr>
          <w:jc w:val="center"/>
        </w:trPr>
        <w:tc>
          <w:tcPr>
            <w:tcW w:w="3329" w:type="dxa"/>
          </w:tcPr>
          <w:p w14:paraId="51835536" w14:textId="5B040933" w:rsidR="00FE5C65" w:rsidRPr="003A42ED" w:rsidRDefault="00FE5C65" w:rsidP="003A42ED">
            <w:pPr>
              <w:rPr>
                <w:b/>
                <w:bCs/>
              </w:rPr>
            </w:pPr>
            <w:r w:rsidRPr="003A42ED">
              <w:t>District and Sessions Court</w:t>
            </w:r>
          </w:p>
        </w:tc>
        <w:tc>
          <w:tcPr>
            <w:tcW w:w="3300" w:type="dxa"/>
          </w:tcPr>
          <w:p w14:paraId="3668E4BD" w14:textId="6F4C0ECD" w:rsidR="00FE5C65" w:rsidRPr="003A42ED" w:rsidRDefault="00FE5C65" w:rsidP="003A42ED">
            <w:pPr>
              <w:rPr>
                <w:b/>
                <w:bCs/>
              </w:rPr>
            </w:pPr>
            <w:r w:rsidRPr="003A42ED">
              <w:t>Highest officer at judicial level</w:t>
            </w:r>
          </w:p>
        </w:tc>
        <w:tc>
          <w:tcPr>
            <w:tcW w:w="3387" w:type="dxa"/>
          </w:tcPr>
          <w:p w14:paraId="711C049E" w14:textId="38B717B1" w:rsidR="00FE5C65" w:rsidRPr="003A42ED" w:rsidRDefault="00FE5C65" w:rsidP="003A42ED">
            <w:pPr>
              <w:rPr>
                <w:b/>
                <w:bCs/>
              </w:rPr>
            </w:pPr>
            <w:r w:rsidRPr="003A42ED">
              <w:t>High value civil cases and serious criminal cases</w:t>
            </w:r>
          </w:p>
        </w:tc>
      </w:tr>
      <w:tr w:rsidR="00FE5C65" w14:paraId="0CEB1B91" w14:textId="77777777" w:rsidTr="006D1AB7">
        <w:trPr>
          <w:jc w:val="center"/>
        </w:trPr>
        <w:tc>
          <w:tcPr>
            <w:tcW w:w="3329" w:type="dxa"/>
          </w:tcPr>
          <w:p w14:paraId="61D0316F" w14:textId="6C7B0E56" w:rsidR="00FE5C65" w:rsidRPr="003A42ED" w:rsidRDefault="00FE5C65" w:rsidP="003A42ED">
            <w:pPr>
              <w:rPr>
                <w:b/>
                <w:bCs/>
              </w:rPr>
            </w:pPr>
            <w:r w:rsidRPr="003A42ED">
              <w:t>Principal Judge Family Court</w:t>
            </w:r>
          </w:p>
        </w:tc>
        <w:tc>
          <w:tcPr>
            <w:tcW w:w="3300" w:type="dxa"/>
          </w:tcPr>
          <w:p w14:paraId="0B055920" w14:textId="04683672" w:rsidR="00FE5C65" w:rsidRPr="003A42ED" w:rsidRDefault="00FE5C65" w:rsidP="003A42ED">
            <w:pPr>
              <w:rPr>
                <w:b/>
                <w:bCs/>
              </w:rPr>
            </w:pPr>
            <w:r w:rsidRPr="003A42ED">
              <w:t>High</w:t>
            </w:r>
          </w:p>
        </w:tc>
        <w:tc>
          <w:tcPr>
            <w:tcW w:w="3387" w:type="dxa"/>
          </w:tcPr>
          <w:p w14:paraId="6738E662" w14:textId="163F40D0" w:rsidR="00FE5C65" w:rsidRPr="003A42ED" w:rsidRDefault="00FE5C65" w:rsidP="003A42ED">
            <w:pPr>
              <w:rPr>
                <w:b/>
                <w:bCs/>
              </w:rPr>
            </w:pPr>
            <w:r w:rsidRPr="003A42ED">
              <w:t>Matrimonial/family disputes</w:t>
            </w:r>
          </w:p>
        </w:tc>
      </w:tr>
      <w:tr w:rsidR="00FE5C65" w14:paraId="6DDF2E52" w14:textId="77777777" w:rsidTr="006D1AB7">
        <w:trPr>
          <w:jc w:val="center"/>
        </w:trPr>
        <w:tc>
          <w:tcPr>
            <w:tcW w:w="3329" w:type="dxa"/>
            <w:tcBorders>
              <w:bottom w:val="single" w:sz="4" w:space="0" w:color="auto"/>
            </w:tcBorders>
          </w:tcPr>
          <w:p w14:paraId="328D349C" w14:textId="5506A7C3" w:rsidR="00FE5C65" w:rsidRPr="003A42ED" w:rsidRDefault="00FE5C65" w:rsidP="003A42ED">
            <w:pPr>
              <w:rPr>
                <w:b/>
                <w:bCs/>
              </w:rPr>
            </w:pPr>
            <w:r w:rsidRPr="003A42ED">
              <w:t>Presiding officer, labour court and industrial disputes</w:t>
            </w:r>
          </w:p>
        </w:tc>
        <w:tc>
          <w:tcPr>
            <w:tcW w:w="3300" w:type="dxa"/>
            <w:tcBorders>
              <w:bottom w:val="single" w:sz="4" w:space="0" w:color="auto"/>
            </w:tcBorders>
          </w:tcPr>
          <w:p w14:paraId="6E282195" w14:textId="18A734E8" w:rsidR="00FE5C65" w:rsidRPr="003A42ED" w:rsidRDefault="00FE5C65" w:rsidP="003A42ED">
            <w:pPr>
              <w:rPr>
                <w:b/>
                <w:bCs/>
              </w:rPr>
            </w:pPr>
            <w:r w:rsidRPr="003A42ED">
              <w:t>High</w:t>
            </w:r>
          </w:p>
        </w:tc>
        <w:tc>
          <w:tcPr>
            <w:tcW w:w="3387" w:type="dxa"/>
            <w:tcBorders>
              <w:bottom w:val="single" w:sz="4" w:space="0" w:color="auto"/>
            </w:tcBorders>
          </w:tcPr>
          <w:p w14:paraId="149D33F6" w14:textId="527F9CEF" w:rsidR="00FE5C65" w:rsidRPr="003A42ED" w:rsidRDefault="00FE5C65" w:rsidP="003A42ED">
            <w:pPr>
              <w:rPr>
                <w:b/>
                <w:bCs/>
              </w:rPr>
            </w:pPr>
            <w:r w:rsidRPr="003A42ED">
              <w:t>Labour, employment, wage related</w:t>
            </w:r>
          </w:p>
        </w:tc>
      </w:tr>
    </w:tbl>
    <w:p w14:paraId="44644EDB" w14:textId="77777777" w:rsidR="006D1AB7" w:rsidRDefault="006D1AB7" w:rsidP="006D1AB7">
      <w:pPr>
        <w:pStyle w:val="Heading3"/>
        <w:ind w:left="0"/>
      </w:pPr>
    </w:p>
    <w:p w14:paraId="31AC376A" w14:textId="77777777" w:rsidR="006D1AB7" w:rsidRDefault="006D1AB7" w:rsidP="006D1AB7">
      <w:pPr>
        <w:pStyle w:val="Heading3"/>
        <w:ind w:left="0"/>
      </w:pPr>
    </w:p>
    <w:p w14:paraId="624830EA" w14:textId="77777777" w:rsidR="006D1AB7" w:rsidRDefault="006D1AB7" w:rsidP="006D1AB7">
      <w:pPr>
        <w:pStyle w:val="Heading3"/>
        <w:ind w:left="0"/>
      </w:pPr>
    </w:p>
    <w:p w14:paraId="5F24205B" w14:textId="77777777" w:rsidR="006D1AB7" w:rsidRDefault="006D1AB7" w:rsidP="006D1AB7">
      <w:pPr>
        <w:pStyle w:val="Heading3"/>
        <w:ind w:left="0"/>
      </w:pPr>
    </w:p>
    <w:p w14:paraId="7B39C91A" w14:textId="77777777" w:rsidR="006D1AB7" w:rsidRDefault="006D1AB7" w:rsidP="006D1AB7">
      <w:pPr>
        <w:pStyle w:val="Heading3"/>
        <w:ind w:left="0"/>
        <w:sectPr w:rsidR="006D1AB7" w:rsidSect="006D1AB7">
          <w:pgSz w:w="15840" w:h="12240" w:orient="landscape"/>
          <w:pgMar w:top="1240" w:right="1460" w:bottom="820" w:left="1020" w:header="652" w:footer="820" w:gutter="0"/>
          <w:cols w:space="720"/>
          <w:docGrid w:linePitch="299"/>
        </w:sectPr>
      </w:pPr>
    </w:p>
    <w:p w14:paraId="340D2D06" w14:textId="547BA288" w:rsidR="00EE7629" w:rsidRPr="00EE7629" w:rsidRDefault="00EE7629" w:rsidP="00F35F5D">
      <w:pPr>
        <w:pStyle w:val="BodyText"/>
        <w:spacing w:before="248" w:line="276" w:lineRule="auto"/>
        <w:ind w:left="380" w:right="581"/>
      </w:pPr>
      <w:r w:rsidRPr="00EE7629">
        <w:lastRenderedPageBreak/>
        <w:t xml:space="preserve">Air pollution levels exhibit considerable variability throughout the duration of our sample. Figure 4 illustrates </w:t>
      </w:r>
      <w:r w:rsidR="003A42ED" w:rsidRPr="00EE7629">
        <w:t>fluctuations</w:t>
      </w:r>
      <w:r w:rsidRPr="00EE7629">
        <w:t xml:space="preserve"> in average PM 2.5 concentrations over the six-month period from July to December 2015. Each scatter point represents a one-week average of the one-day lagged measure of PM 2.5, as previously defined. By December 2015, average PM 2.5 levels increased to two and a half times the level observed in July, indicating a 150% rise. Consequently, </w:t>
      </w:r>
      <w:r>
        <w:t>our identifying</w:t>
      </w:r>
      <w:r w:rsidRPr="00EE7629">
        <w:t xml:space="preserve"> variation appears to be promising for establishing the foundation of our main hypothesis: whether case durations respond to air pollution levels. </w:t>
      </w:r>
    </w:p>
    <w:p w14:paraId="2517E6C0" w14:textId="77777777" w:rsidR="00EE7629" w:rsidRDefault="00EE7629" w:rsidP="005F72E4">
      <w:pPr>
        <w:keepNext/>
        <w:rPr>
          <w:sz w:val="24"/>
          <w:szCs w:val="24"/>
        </w:rPr>
      </w:pPr>
    </w:p>
    <w:p w14:paraId="1496626B" w14:textId="40F5E2DE" w:rsidR="005F72E4" w:rsidRDefault="005F72E4" w:rsidP="005F72E4">
      <w:pPr>
        <w:keepNext/>
      </w:pPr>
      <w:r>
        <w:rPr>
          <w:noProof/>
          <w:sz w:val="24"/>
          <w:szCs w:val="24"/>
        </w:rPr>
        <w:drawing>
          <wp:inline distT="0" distB="0" distL="0" distR="0" wp14:anchorId="185E0BEB" wp14:editId="7A8F553D">
            <wp:extent cx="6464300" cy="4703445"/>
            <wp:effectExtent l="0" t="0" r="0" b="1905"/>
            <wp:docPr id="1559879879" name="Picture 12" descr="A graph with dots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9879879" name="Picture 12" descr="A graph with dots on it&#10;&#10;AI-generated content may be incorrec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64300" cy="4703445"/>
                    </a:xfrm>
                    <a:prstGeom prst="rect">
                      <a:avLst/>
                    </a:prstGeom>
                  </pic:spPr>
                </pic:pic>
              </a:graphicData>
            </a:graphic>
          </wp:inline>
        </w:drawing>
      </w:r>
    </w:p>
    <w:p w14:paraId="524A6891" w14:textId="0126E234" w:rsidR="006F4AC6" w:rsidRDefault="005F72E4" w:rsidP="005F72E4">
      <w:pPr>
        <w:pStyle w:val="Caption"/>
        <w:rPr>
          <w:i w:val="0"/>
          <w:iCs w:val="0"/>
          <w:color w:val="auto"/>
          <w:sz w:val="20"/>
          <w:szCs w:val="20"/>
        </w:rPr>
      </w:pPr>
      <w:r w:rsidRPr="00EE7629">
        <w:rPr>
          <w:i w:val="0"/>
          <w:iCs w:val="0"/>
          <w:color w:val="auto"/>
          <w:sz w:val="20"/>
          <w:szCs w:val="20"/>
        </w:rPr>
        <w:t>Figure 4: Levels of air pollution, measured by the concentration of PM 2.5</w:t>
      </w:r>
      <w:r w:rsidR="00EE7629">
        <w:rPr>
          <w:i w:val="0"/>
          <w:iCs w:val="0"/>
          <w:color w:val="auto"/>
          <w:sz w:val="20"/>
          <w:szCs w:val="20"/>
        </w:rPr>
        <w:t xml:space="preserve"> in </w:t>
      </w:r>
      <m:oMath>
        <m:r>
          <w:rPr>
            <w:rFonts w:ascii="Cambria Math" w:hAnsi="Cambria Math"/>
            <w:color w:val="auto"/>
            <w:sz w:val="20"/>
            <w:szCs w:val="20"/>
          </w:rPr>
          <m:t>μ/</m:t>
        </m:r>
        <m:sSup>
          <m:sSupPr>
            <m:ctrlPr>
              <w:rPr>
                <w:rFonts w:ascii="Cambria Math" w:hAnsi="Cambria Math"/>
                <w:iCs w:val="0"/>
                <w:color w:val="auto"/>
                <w:sz w:val="20"/>
                <w:szCs w:val="20"/>
              </w:rPr>
            </m:ctrlPr>
          </m:sSupPr>
          <m:e>
            <m:r>
              <w:rPr>
                <w:rFonts w:ascii="Cambria Math" w:hAnsi="Cambria Math"/>
                <w:color w:val="auto"/>
                <w:sz w:val="20"/>
                <w:szCs w:val="20"/>
              </w:rPr>
              <m:t>m</m:t>
            </m:r>
          </m:e>
          <m:sup>
            <m:r>
              <w:rPr>
                <w:rFonts w:ascii="Cambria Math" w:hAnsi="Cambria Math"/>
                <w:color w:val="auto"/>
                <w:sz w:val="20"/>
                <w:szCs w:val="20"/>
              </w:rPr>
              <m:t>3</m:t>
            </m:r>
          </m:sup>
        </m:sSup>
      </m:oMath>
      <w:r w:rsidRPr="00EE7629">
        <w:rPr>
          <w:i w:val="0"/>
          <w:iCs w:val="0"/>
          <w:color w:val="auto"/>
          <w:sz w:val="20"/>
          <w:szCs w:val="20"/>
        </w:rPr>
        <w:t xml:space="preserve">, plotted against the date of filing. The measure of air pollution shown here is our 1 day lagged </w:t>
      </w:r>
      <w:r w:rsidR="00EE7629" w:rsidRPr="00EE7629">
        <w:rPr>
          <w:i w:val="0"/>
          <w:iCs w:val="0"/>
          <w:color w:val="auto"/>
          <w:sz w:val="20"/>
          <w:szCs w:val="20"/>
        </w:rPr>
        <w:t xml:space="preserve">average across all the five dates relevant to a specific case. Each dot in the figure refers to a seven-day period – the first four are thus for July 2015, the next four for August 2015 and so on. WHO recommended maximum levels of air pollution for a 24-hour period are 15 </w:t>
      </w:r>
      <m:oMath>
        <m:r>
          <w:rPr>
            <w:rFonts w:ascii="Cambria Math" w:hAnsi="Cambria Math"/>
            <w:color w:val="auto"/>
            <w:sz w:val="20"/>
            <w:szCs w:val="20"/>
          </w:rPr>
          <m:t>μ/</m:t>
        </m:r>
        <m:sSup>
          <m:sSupPr>
            <m:ctrlPr>
              <w:rPr>
                <w:rFonts w:ascii="Cambria Math" w:hAnsi="Cambria Math"/>
                <w:i w:val="0"/>
                <w:iCs w:val="0"/>
                <w:color w:val="auto"/>
                <w:sz w:val="20"/>
                <w:szCs w:val="20"/>
              </w:rPr>
            </m:ctrlPr>
          </m:sSupPr>
          <m:e>
            <m:r>
              <w:rPr>
                <w:rFonts w:ascii="Cambria Math" w:hAnsi="Cambria Math"/>
                <w:color w:val="auto"/>
                <w:sz w:val="20"/>
                <w:szCs w:val="20"/>
              </w:rPr>
              <m:t>m</m:t>
            </m:r>
          </m:e>
          <m:sup>
            <m:r>
              <w:rPr>
                <w:rFonts w:ascii="Cambria Math" w:hAnsi="Cambria Math"/>
                <w:color w:val="auto"/>
                <w:sz w:val="20"/>
                <w:szCs w:val="20"/>
              </w:rPr>
              <m:t>3</m:t>
            </m:r>
          </m:sup>
        </m:sSup>
      </m:oMath>
      <w:r w:rsidR="00EE7629">
        <w:rPr>
          <w:i w:val="0"/>
          <w:iCs w:val="0"/>
          <w:color w:val="auto"/>
          <w:sz w:val="20"/>
          <w:szCs w:val="20"/>
        </w:rPr>
        <w:t>.</w:t>
      </w:r>
    </w:p>
    <w:p w14:paraId="06BF7320" w14:textId="3BCB2EF9" w:rsidR="00973B06" w:rsidRDefault="00973B06" w:rsidP="00973B06">
      <w:pPr>
        <w:pStyle w:val="Heading3"/>
      </w:pPr>
      <w:r>
        <w:t>Section IV: Estimates of the Association between Case Duration and Air Pollution</w:t>
      </w:r>
    </w:p>
    <w:p w14:paraId="3223F805" w14:textId="77777777" w:rsidR="00490FD7" w:rsidRDefault="00490FD7" w:rsidP="00FB63DD">
      <w:pPr>
        <w:rPr>
          <w:sz w:val="12"/>
        </w:rPr>
      </w:pPr>
    </w:p>
    <w:p w14:paraId="1C3A3975" w14:textId="1337769A" w:rsidR="00F35F5D" w:rsidRDefault="00C969AB" w:rsidP="00F35F5D">
      <w:pPr>
        <w:pStyle w:val="BodyText"/>
        <w:spacing w:before="248" w:line="276" w:lineRule="auto"/>
        <w:ind w:left="380" w:right="581"/>
      </w:pPr>
      <w:r w:rsidRPr="00EC6F47">
        <w:t>Estimates of our main specification are shown below in Table 3.</w:t>
      </w:r>
      <w:r w:rsidR="00EC6F47" w:rsidRPr="00EC6F47">
        <w:t xml:space="preserve"> As we move from columns 1 to 4, the measure of PM 2.5 concentrations allows for larger cumulative exposure. We see that as the exposure window increases, so too does the estimated impact</w:t>
      </w:r>
      <w:r w:rsidR="004F3376">
        <w:t>, suggesting that cumulative exposure matters not sudden spikes or drops in pollution levels</w:t>
      </w:r>
      <w:r w:rsidR="00EC6F47" w:rsidRPr="00EC6F47">
        <w:t xml:space="preserve">. All coefficients are statistically </w:t>
      </w:r>
      <w:r w:rsidR="00EC6F47" w:rsidRPr="00EC6F47">
        <w:lastRenderedPageBreak/>
        <w:t xml:space="preserve">significant at the 1% level of significance. </w:t>
      </w:r>
    </w:p>
    <w:p w14:paraId="59E84B0D" w14:textId="77777777" w:rsidR="00BF7C73" w:rsidRDefault="00BF7C73" w:rsidP="00F35F5D">
      <w:pPr>
        <w:pStyle w:val="BodyText"/>
        <w:spacing w:before="248" w:line="276" w:lineRule="auto"/>
        <w:ind w:left="380" w:right="581"/>
      </w:pPr>
    </w:p>
    <w:p w14:paraId="4AAD239E" w14:textId="0BDB34C1" w:rsidR="00AE133A" w:rsidRPr="006611D5" w:rsidRDefault="00AE133A" w:rsidP="00AE133A">
      <w:pPr>
        <w:pStyle w:val="Caption"/>
        <w:keepNext/>
        <w:jc w:val="center"/>
        <w:rPr>
          <w:b/>
          <w:bCs/>
          <w:i w:val="0"/>
          <w:iCs w:val="0"/>
          <w:color w:val="auto"/>
          <w:sz w:val="28"/>
          <w:szCs w:val="28"/>
        </w:rPr>
      </w:pPr>
      <w:r w:rsidRPr="006611D5">
        <w:rPr>
          <w:b/>
          <w:bCs/>
          <w:i w:val="0"/>
          <w:iCs w:val="0"/>
          <w:color w:val="auto"/>
          <w:sz w:val="28"/>
          <w:szCs w:val="28"/>
        </w:rPr>
        <w:t>Table 3: Estimates of the Main Specification</w:t>
      </w:r>
    </w:p>
    <w:tbl>
      <w:tblPr>
        <w:tblW w:w="9680" w:type="dxa"/>
        <w:tblInd w:w="108" w:type="dxa"/>
        <w:tblLook w:val="04A0" w:firstRow="1" w:lastRow="0" w:firstColumn="1" w:lastColumn="0" w:noHBand="0" w:noVBand="1"/>
      </w:tblPr>
      <w:tblGrid>
        <w:gridCol w:w="4140"/>
        <w:gridCol w:w="1160"/>
        <w:gridCol w:w="1340"/>
        <w:gridCol w:w="1520"/>
        <w:gridCol w:w="1520"/>
      </w:tblGrid>
      <w:tr w:rsidR="00AE133A" w:rsidRPr="00AE133A" w14:paraId="27247D77" w14:textId="77777777" w:rsidTr="00AE133A">
        <w:trPr>
          <w:trHeight w:val="260"/>
        </w:trPr>
        <w:tc>
          <w:tcPr>
            <w:tcW w:w="4140" w:type="dxa"/>
            <w:tcBorders>
              <w:left w:val="nil"/>
              <w:bottom w:val="nil"/>
              <w:right w:val="nil"/>
            </w:tcBorders>
            <w:shd w:val="clear" w:color="auto" w:fill="auto"/>
            <w:noWrap/>
            <w:vAlign w:val="bottom"/>
            <w:hideMark/>
          </w:tcPr>
          <w:p w14:paraId="6A289218"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 </w:t>
            </w:r>
          </w:p>
        </w:tc>
        <w:tc>
          <w:tcPr>
            <w:tcW w:w="1160" w:type="dxa"/>
            <w:tcBorders>
              <w:top w:val="single" w:sz="4" w:space="0" w:color="000000"/>
              <w:left w:val="nil"/>
              <w:bottom w:val="nil"/>
              <w:right w:val="nil"/>
            </w:tcBorders>
            <w:shd w:val="clear" w:color="auto" w:fill="auto"/>
            <w:noWrap/>
            <w:vAlign w:val="bottom"/>
            <w:hideMark/>
          </w:tcPr>
          <w:p w14:paraId="317993B6"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(1)</w:t>
            </w:r>
          </w:p>
        </w:tc>
        <w:tc>
          <w:tcPr>
            <w:tcW w:w="1340" w:type="dxa"/>
            <w:tcBorders>
              <w:top w:val="single" w:sz="4" w:space="0" w:color="000000"/>
              <w:left w:val="nil"/>
              <w:bottom w:val="nil"/>
              <w:right w:val="nil"/>
            </w:tcBorders>
            <w:shd w:val="clear" w:color="auto" w:fill="auto"/>
            <w:noWrap/>
            <w:vAlign w:val="bottom"/>
            <w:hideMark/>
          </w:tcPr>
          <w:p w14:paraId="202483A9"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(2)</w:t>
            </w:r>
          </w:p>
        </w:tc>
        <w:tc>
          <w:tcPr>
            <w:tcW w:w="1520" w:type="dxa"/>
            <w:tcBorders>
              <w:top w:val="single" w:sz="4" w:space="0" w:color="000000"/>
              <w:left w:val="nil"/>
              <w:bottom w:val="nil"/>
              <w:right w:val="nil"/>
            </w:tcBorders>
            <w:shd w:val="clear" w:color="auto" w:fill="auto"/>
            <w:noWrap/>
            <w:vAlign w:val="bottom"/>
            <w:hideMark/>
          </w:tcPr>
          <w:p w14:paraId="33DBBC5E"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(3)</w:t>
            </w:r>
          </w:p>
        </w:tc>
        <w:tc>
          <w:tcPr>
            <w:tcW w:w="1520" w:type="dxa"/>
            <w:tcBorders>
              <w:top w:val="single" w:sz="4" w:space="0" w:color="000000"/>
              <w:left w:val="nil"/>
              <w:bottom w:val="nil"/>
              <w:right w:val="nil"/>
            </w:tcBorders>
            <w:shd w:val="clear" w:color="auto" w:fill="auto"/>
            <w:noWrap/>
            <w:vAlign w:val="bottom"/>
            <w:hideMark/>
          </w:tcPr>
          <w:p w14:paraId="0FD6310D"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(4)</w:t>
            </w:r>
          </w:p>
        </w:tc>
      </w:tr>
      <w:tr w:rsidR="00AE133A" w:rsidRPr="00AE133A" w14:paraId="65DBF746" w14:textId="77777777" w:rsidTr="002E27B3">
        <w:trPr>
          <w:trHeight w:val="260"/>
        </w:trPr>
        <w:tc>
          <w:tcPr>
            <w:tcW w:w="4140" w:type="dxa"/>
            <w:tcBorders>
              <w:top w:val="nil"/>
              <w:left w:val="nil"/>
              <w:bottom w:val="nil"/>
              <w:right w:val="nil"/>
            </w:tcBorders>
            <w:shd w:val="clear" w:color="auto" w:fill="auto"/>
            <w:noWrap/>
            <w:vAlign w:val="bottom"/>
            <w:hideMark/>
          </w:tcPr>
          <w:p w14:paraId="3DEE0B7B" w14:textId="77777777" w:rsidR="00AE133A" w:rsidRPr="00AE133A" w:rsidRDefault="00AE133A" w:rsidP="00AE133A">
            <w:pPr>
              <w:widowControl/>
              <w:autoSpaceDE/>
              <w:autoSpaceDN/>
              <w:jc w:val="center"/>
              <w:rPr>
                <w:rFonts w:ascii="Calibri" w:hAnsi="Calibri" w:cs="Calibri"/>
                <w:lang w:val="en-IN" w:eastAsia="en-IN"/>
              </w:rPr>
            </w:pPr>
          </w:p>
        </w:tc>
        <w:tc>
          <w:tcPr>
            <w:tcW w:w="5540" w:type="dxa"/>
            <w:gridSpan w:val="4"/>
            <w:tcBorders>
              <w:top w:val="nil"/>
              <w:left w:val="nil"/>
              <w:bottom w:val="nil"/>
              <w:right w:val="nil"/>
            </w:tcBorders>
            <w:shd w:val="clear" w:color="auto" w:fill="auto"/>
            <w:noWrap/>
            <w:vAlign w:val="bottom"/>
            <w:hideMark/>
          </w:tcPr>
          <w:p w14:paraId="5D1ABD45" w14:textId="7690AF27" w:rsidR="00AE133A" w:rsidRPr="00AE133A" w:rsidRDefault="00AE133A" w:rsidP="00AE133A">
            <w:pPr>
              <w:widowControl/>
              <w:autoSpaceDE/>
              <w:autoSpaceDN/>
              <w:jc w:val="center"/>
              <w:rPr>
                <w:rFonts w:ascii="Calibri" w:hAnsi="Calibri" w:cs="Calibri"/>
                <w:lang w:val="en-IN" w:eastAsia="en-IN"/>
              </w:rPr>
            </w:pPr>
            <w:r w:rsidRPr="00EC6F47">
              <w:rPr>
                <w:rFonts w:ascii="Calibri" w:hAnsi="Calibri" w:cs="Calibri"/>
                <w:lang w:val="en-IN" w:eastAsia="en-IN"/>
              </w:rPr>
              <w:t>Outcome: Case Duration</w:t>
            </w:r>
          </w:p>
        </w:tc>
      </w:tr>
      <w:tr w:rsidR="00AE133A" w:rsidRPr="00AE133A" w14:paraId="4CA60C73" w14:textId="77777777" w:rsidTr="00AE133A">
        <w:trPr>
          <w:trHeight w:val="260"/>
        </w:trPr>
        <w:tc>
          <w:tcPr>
            <w:tcW w:w="4140" w:type="dxa"/>
            <w:tcBorders>
              <w:left w:val="nil"/>
              <w:bottom w:val="nil"/>
              <w:right w:val="nil"/>
            </w:tcBorders>
            <w:shd w:val="clear" w:color="auto" w:fill="auto"/>
            <w:noWrap/>
            <w:vAlign w:val="bottom"/>
            <w:hideMark/>
          </w:tcPr>
          <w:p w14:paraId="42AA3842"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 </w:t>
            </w:r>
          </w:p>
        </w:tc>
        <w:tc>
          <w:tcPr>
            <w:tcW w:w="1160" w:type="dxa"/>
            <w:tcBorders>
              <w:top w:val="single" w:sz="4" w:space="0" w:color="000000"/>
              <w:left w:val="nil"/>
              <w:bottom w:val="nil"/>
              <w:right w:val="nil"/>
            </w:tcBorders>
            <w:shd w:val="clear" w:color="auto" w:fill="auto"/>
            <w:noWrap/>
            <w:vAlign w:val="bottom"/>
            <w:hideMark/>
          </w:tcPr>
          <w:p w14:paraId="173D112C"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 </w:t>
            </w:r>
          </w:p>
        </w:tc>
        <w:tc>
          <w:tcPr>
            <w:tcW w:w="1340" w:type="dxa"/>
            <w:tcBorders>
              <w:top w:val="single" w:sz="4" w:space="0" w:color="000000"/>
              <w:left w:val="nil"/>
              <w:bottom w:val="nil"/>
              <w:right w:val="nil"/>
            </w:tcBorders>
            <w:shd w:val="clear" w:color="auto" w:fill="auto"/>
            <w:noWrap/>
            <w:vAlign w:val="bottom"/>
            <w:hideMark/>
          </w:tcPr>
          <w:p w14:paraId="1CC88C9E"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 </w:t>
            </w:r>
          </w:p>
        </w:tc>
        <w:tc>
          <w:tcPr>
            <w:tcW w:w="1520" w:type="dxa"/>
            <w:tcBorders>
              <w:top w:val="single" w:sz="4" w:space="0" w:color="000000"/>
              <w:left w:val="nil"/>
              <w:bottom w:val="nil"/>
              <w:right w:val="nil"/>
            </w:tcBorders>
            <w:shd w:val="clear" w:color="auto" w:fill="auto"/>
            <w:noWrap/>
            <w:vAlign w:val="bottom"/>
            <w:hideMark/>
          </w:tcPr>
          <w:p w14:paraId="54C755C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 </w:t>
            </w:r>
          </w:p>
        </w:tc>
        <w:tc>
          <w:tcPr>
            <w:tcW w:w="1520" w:type="dxa"/>
            <w:tcBorders>
              <w:top w:val="single" w:sz="4" w:space="0" w:color="000000"/>
              <w:left w:val="nil"/>
              <w:bottom w:val="nil"/>
              <w:right w:val="nil"/>
            </w:tcBorders>
            <w:shd w:val="clear" w:color="auto" w:fill="auto"/>
            <w:noWrap/>
            <w:vAlign w:val="bottom"/>
            <w:hideMark/>
          </w:tcPr>
          <w:p w14:paraId="7E31841B"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 </w:t>
            </w:r>
          </w:p>
        </w:tc>
      </w:tr>
      <w:tr w:rsidR="00AE133A" w:rsidRPr="00AE133A" w14:paraId="05755517" w14:textId="77777777" w:rsidTr="00AE133A">
        <w:trPr>
          <w:trHeight w:val="260"/>
        </w:trPr>
        <w:tc>
          <w:tcPr>
            <w:tcW w:w="4140" w:type="dxa"/>
            <w:tcBorders>
              <w:top w:val="nil"/>
              <w:left w:val="nil"/>
              <w:bottom w:val="nil"/>
              <w:right w:val="nil"/>
            </w:tcBorders>
            <w:shd w:val="clear" w:color="auto" w:fill="auto"/>
            <w:noWrap/>
            <w:vAlign w:val="bottom"/>
            <w:hideMark/>
          </w:tcPr>
          <w:p w14:paraId="19386F5F"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PM 2.5 Previous Day</w:t>
            </w:r>
          </w:p>
        </w:tc>
        <w:tc>
          <w:tcPr>
            <w:tcW w:w="1160" w:type="dxa"/>
            <w:tcBorders>
              <w:top w:val="nil"/>
              <w:left w:val="nil"/>
              <w:bottom w:val="nil"/>
              <w:right w:val="nil"/>
            </w:tcBorders>
            <w:shd w:val="clear" w:color="auto" w:fill="auto"/>
            <w:noWrap/>
            <w:vAlign w:val="bottom"/>
            <w:hideMark/>
          </w:tcPr>
          <w:p w14:paraId="25154FF4"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0.018***</w:t>
            </w:r>
          </w:p>
        </w:tc>
        <w:tc>
          <w:tcPr>
            <w:tcW w:w="1340" w:type="dxa"/>
            <w:tcBorders>
              <w:top w:val="nil"/>
              <w:left w:val="nil"/>
              <w:bottom w:val="nil"/>
              <w:right w:val="nil"/>
            </w:tcBorders>
            <w:shd w:val="clear" w:color="auto" w:fill="auto"/>
            <w:noWrap/>
            <w:vAlign w:val="bottom"/>
            <w:hideMark/>
          </w:tcPr>
          <w:p w14:paraId="3DA8FF36" w14:textId="77777777" w:rsidR="00AE133A" w:rsidRPr="00AE133A" w:rsidRDefault="00AE133A" w:rsidP="00AE133A">
            <w:pPr>
              <w:widowControl/>
              <w:autoSpaceDE/>
              <w:autoSpaceDN/>
              <w:jc w:val="center"/>
              <w:rPr>
                <w:rFonts w:ascii="Calibri" w:hAnsi="Calibri" w:cs="Calibri"/>
                <w:lang w:val="en-IN" w:eastAsia="en-IN"/>
              </w:rPr>
            </w:pPr>
          </w:p>
        </w:tc>
        <w:tc>
          <w:tcPr>
            <w:tcW w:w="1520" w:type="dxa"/>
            <w:tcBorders>
              <w:top w:val="nil"/>
              <w:left w:val="nil"/>
              <w:bottom w:val="nil"/>
              <w:right w:val="nil"/>
            </w:tcBorders>
            <w:shd w:val="clear" w:color="auto" w:fill="auto"/>
            <w:noWrap/>
            <w:vAlign w:val="bottom"/>
            <w:hideMark/>
          </w:tcPr>
          <w:p w14:paraId="17537D9B"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7906659E" w14:textId="77777777" w:rsidR="00AE133A" w:rsidRPr="00AE133A" w:rsidRDefault="00AE133A" w:rsidP="00AE133A">
            <w:pPr>
              <w:widowControl/>
              <w:autoSpaceDE/>
              <w:autoSpaceDN/>
              <w:jc w:val="center"/>
              <w:rPr>
                <w:lang w:val="en-IN" w:eastAsia="en-IN"/>
              </w:rPr>
            </w:pPr>
          </w:p>
        </w:tc>
      </w:tr>
      <w:tr w:rsidR="00AE133A" w:rsidRPr="00AE133A" w14:paraId="7F158FE2" w14:textId="77777777" w:rsidTr="00AE133A">
        <w:trPr>
          <w:trHeight w:val="260"/>
        </w:trPr>
        <w:tc>
          <w:tcPr>
            <w:tcW w:w="4140" w:type="dxa"/>
            <w:tcBorders>
              <w:top w:val="nil"/>
              <w:left w:val="nil"/>
              <w:bottom w:val="nil"/>
              <w:right w:val="nil"/>
            </w:tcBorders>
            <w:shd w:val="clear" w:color="auto" w:fill="auto"/>
            <w:noWrap/>
            <w:vAlign w:val="bottom"/>
            <w:hideMark/>
          </w:tcPr>
          <w:p w14:paraId="014DFC0C" w14:textId="77777777" w:rsidR="00AE133A" w:rsidRPr="00AE133A" w:rsidRDefault="00AE133A" w:rsidP="00AE133A">
            <w:pPr>
              <w:widowControl/>
              <w:autoSpaceDE/>
              <w:autoSpaceDN/>
              <w:jc w:val="center"/>
              <w:rPr>
                <w:lang w:val="en-IN" w:eastAsia="en-IN"/>
              </w:rPr>
            </w:pPr>
          </w:p>
        </w:tc>
        <w:tc>
          <w:tcPr>
            <w:tcW w:w="1160" w:type="dxa"/>
            <w:tcBorders>
              <w:top w:val="nil"/>
              <w:left w:val="nil"/>
              <w:bottom w:val="nil"/>
              <w:right w:val="nil"/>
            </w:tcBorders>
            <w:shd w:val="clear" w:color="auto" w:fill="auto"/>
            <w:noWrap/>
            <w:vAlign w:val="bottom"/>
            <w:hideMark/>
          </w:tcPr>
          <w:p w14:paraId="27CAFDAD"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(0.005)</w:t>
            </w:r>
          </w:p>
        </w:tc>
        <w:tc>
          <w:tcPr>
            <w:tcW w:w="1340" w:type="dxa"/>
            <w:tcBorders>
              <w:top w:val="nil"/>
              <w:left w:val="nil"/>
              <w:bottom w:val="nil"/>
              <w:right w:val="nil"/>
            </w:tcBorders>
            <w:shd w:val="clear" w:color="auto" w:fill="auto"/>
            <w:noWrap/>
            <w:vAlign w:val="bottom"/>
            <w:hideMark/>
          </w:tcPr>
          <w:p w14:paraId="31729ADC" w14:textId="77777777" w:rsidR="00AE133A" w:rsidRPr="00AE133A" w:rsidRDefault="00AE133A" w:rsidP="00AE133A">
            <w:pPr>
              <w:widowControl/>
              <w:autoSpaceDE/>
              <w:autoSpaceDN/>
              <w:jc w:val="center"/>
              <w:rPr>
                <w:rFonts w:ascii="Calibri" w:hAnsi="Calibri" w:cs="Calibri"/>
                <w:lang w:val="en-IN" w:eastAsia="en-IN"/>
              </w:rPr>
            </w:pPr>
          </w:p>
        </w:tc>
        <w:tc>
          <w:tcPr>
            <w:tcW w:w="1520" w:type="dxa"/>
            <w:tcBorders>
              <w:top w:val="nil"/>
              <w:left w:val="nil"/>
              <w:bottom w:val="nil"/>
              <w:right w:val="nil"/>
            </w:tcBorders>
            <w:shd w:val="clear" w:color="auto" w:fill="auto"/>
            <w:noWrap/>
            <w:vAlign w:val="bottom"/>
            <w:hideMark/>
          </w:tcPr>
          <w:p w14:paraId="14ABB411"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1A27AC9C" w14:textId="77777777" w:rsidR="00AE133A" w:rsidRPr="00AE133A" w:rsidRDefault="00AE133A" w:rsidP="00AE133A">
            <w:pPr>
              <w:widowControl/>
              <w:autoSpaceDE/>
              <w:autoSpaceDN/>
              <w:jc w:val="center"/>
              <w:rPr>
                <w:lang w:val="en-IN" w:eastAsia="en-IN"/>
              </w:rPr>
            </w:pPr>
          </w:p>
        </w:tc>
      </w:tr>
      <w:tr w:rsidR="00AE133A" w:rsidRPr="00AE133A" w14:paraId="2445AE6A" w14:textId="77777777" w:rsidTr="00AE133A">
        <w:trPr>
          <w:trHeight w:val="260"/>
        </w:trPr>
        <w:tc>
          <w:tcPr>
            <w:tcW w:w="4140" w:type="dxa"/>
            <w:tcBorders>
              <w:top w:val="nil"/>
              <w:left w:val="nil"/>
              <w:bottom w:val="nil"/>
              <w:right w:val="nil"/>
            </w:tcBorders>
            <w:shd w:val="clear" w:color="auto" w:fill="auto"/>
            <w:noWrap/>
            <w:vAlign w:val="bottom"/>
            <w:hideMark/>
          </w:tcPr>
          <w:p w14:paraId="793DC3ED"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PM 2.5 Previous 1 week</w:t>
            </w:r>
          </w:p>
        </w:tc>
        <w:tc>
          <w:tcPr>
            <w:tcW w:w="1160" w:type="dxa"/>
            <w:tcBorders>
              <w:top w:val="nil"/>
              <w:left w:val="nil"/>
              <w:bottom w:val="nil"/>
              <w:right w:val="nil"/>
            </w:tcBorders>
            <w:shd w:val="clear" w:color="auto" w:fill="auto"/>
            <w:noWrap/>
            <w:vAlign w:val="bottom"/>
            <w:hideMark/>
          </w:tcPr>
          <w:p w14:paraId="51925634" w14:textId="77777777" w:rsidR="00AE133A" w:rsidRPr="00AE133A" w:rsidRDefault="00AE133A" w:rsidP="00AE133A">
            <w:pPr>
              <w:widowControl/>
              <w:autoSpaceDE/>
              <w:autoSpaceDN/>
              <w:rPr>
                <w:rFonts w:ascii="Calibri" w:hAnsi="Calibri" w:cs="Calibri"/>
                <w:lang w:val="en-IN" w:eastAsia="en-IN"/>
              </w:rPr>
            </w:pPr>
          </w:p>
        </w:tc>
        <w:tc>
          <w:tcPr>
            <w:tcW w:w="1340" w:type="dxa"/>
            <w:tcBorders>
              <w:top w:val="nil"/>
              <w:left w:val="nil"/>
              <w:bottom w:val="nil"/>
              <w:right w:val="nil"/>
            </w:tcBorders>
            <w:shd w:val="clear" w:color="auto" w:fill="auto"/>
            <w:noWrap/>
            <w:vAlign w:val="bottom"/>
            <w:hideMark/>
          </w:tcPr>
          <w:p w14:paraId="7601F383"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0.021***</w:t>
            </w:r>
          </w:p>
        </w:tc>
        <w:tc>
          <w:tcPr>
            <w:tcW w:w="1520" w:type="dxa"/>
            <w:tcBorders>
              <w:top w:val="nil"/>
              <w:left w:val="nil"/>
              <w:bottom w:val="nil"/>
              <w:right w:val="nil"/>
            </w:tcBorders>
            <w:shd w:val="clear" w:color="auto" w:fill="auto"/>
            <w:noWrap/>
            <w:vAlign w:val="bottom"/>
            <w:hideMark/>
          </w:tcPr>
          <w:p w14:paraId="43E7D4A3" w14:textId="77777777" w:rsidR="00AE133A" w:rsidRPr="00AE133A" w:rsidRDefault="00AE133A" w:rsidP="00AE133A">
            <w:pPr>
              <w:widowControl/>
              <w:autoSpaceDE/>
              <w:autoSpaceDN/>
              <w:jc w:val="center"/>
              <w:rPr>
                <w:rFonts w:ascii="Calibri" w:hAnsi="Calibri" w:cs="Calibri"/>
                <w:lang w:val="en-IN" w:eastAsia="en-IN"/>
              </w:rPr>
            </w:pPr>
          </w:p>
        </w:tc>
        <w:tc>
          <w:tcPr>
            <w:tcW w:w="1520" w:type="dxa"/>
            <w:tcBorders>
              <w:top w:val="nil"/>
              <w:left w:val="nil"/>
              <w:bottom w:val="nil"/>
              <w:right w:val="nil"/>
            </w:tcBorders>
            <w:shd w:val="clear" w:color="auto" w:fill="auto"/>
            <w:noWrap/>
            <w:vAlign w:val="bottom"/>
            <w:hideMark/>
          </w:tcPr>
          <w:p w14:paraId="2FD5485C" w14:textId="77777777" w:rsidR="00AE133A" w:rsidRPr="00AE133A" w:rsidRDefault="00AE133A" w:rsidP="00AE133A">
            <w:pPr>
              <w:widowControl/>
              <w:autoSpaceDE/>
              <w:autoSpaceDN/>
              <w:jc w:val="center"/>
              <w:rPr>
                <w:lang w:val="en-IN" w:eastAsia="en-IN"/>
              </w:rPr>
            </w:pPr>
          </w:p>
        </w:tc>
      </w:tr>
      <w:tr w:rsidR="00AE133A" w:rsidRPr="00AE133A" w14:paraId="3DAAC037" w14:textId="77777777" w:rsidTr="00AE133A">
        <w:trPr>
          <w:trHeight w:val="260"/>
        </w:trPr>
        <w:tc>
          <w:tcPr>
            <w:tcW w:w="4140" w:type="dxa"/>
            <w:tcBorders>
              <w:top w:val="nil"/>
              <w:left w:val="nil"/>
              <w:bottom w:val="nil"/>
              <w:right w:val="nil"/>
            </w:tcBorders>
            <w:shd w:val="clear" w:color="auto" w:fill="auto"/>
            <w:noWrap/>
            <w:vAlign w:val="bottom"/>
            <w:hideMark/>
          </w:tcPr>
          <w:p w14:paraId="2040ECCE" w14:textId="77777777" w:rsidR="00AE133A" w:rsidRPr="00AE133A" w:rsidRDefault="00AE133A" w:rsidP="00AE133A">
            <w:pPr>
              <w:widowControl/>
              <w:autoSpaceDE/>
              <w:autoSpaceDN/>
              <w:jc w:val="center"/>
              <w:rPr>
                <w:lang w:val="en-IN" w:eastAsia="en-IN"/>
              </w:rPr>
            </w:pPr>
          </w:p>
        </w:tc>
        <w:tc>
          <w:tcPr>
            <w:tcW w:w="1160" w:type="dxa"/>
            <w:tcBorders>
              <w:top w:val="nil"/>
              <w:left w:val="nil"/>
              <w:bottom w:val="nil"/>
              <w:right w:val="nil"/>
            </w:tcBorders>
            <w:shd w:val="clear" w:color="auto" w:fill="auto"/>
            <w:noWrap/>
            <w:vAlign w:val="bottom"/>
            <w:hideMark/>
          </w:tcPr>
          <w:p w14:paraId="75C95B92" w14:textId="77777777" w:rsidR="00AE133A" w:rsidRPr="00AE133A" w:rsidRDefault="00AE133A" w:rsidP="00AE133A">
            <w:pPr>
              <w:widowControl/>
              <w:autoSpaceDE/>
              <w:autoSpaceDN/>
              <w:rPr>
                <w:lang w:val="en-IN" w:eastAsia="en-IN"/>
              </w:rPr>
            </w:pPr>
          </w:p>
        </w:tc>
        <w:tc>
          <w:tcPr>
            <w:tcW w:w="1340" w:type="dxa"/>
            <w:tcBorders>
              <w:top w:val="nil"/>
              <w:left w:val="nil"/>
              <w:bottom w:val="nil"/>
              <w:right w:val="nil"/>
            </w:tcBorders>
            <w:shd w:val="clear" w:color="auto" w:fill="auto"/>
            <w:noWrap/>
            <w:vAlign w:val="bottom"/>
            <w:hideMark/>
          </w:tcPr>
          <w:p w14:paraId="48CAEDD8"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(0.004)</w:t>
            </w:r>
          </w:p>
        </w:tc>
        <w:tc>
          <w:tcPr>
            <w:tcW w:w="1520" w:type="dxa"/>
            <w:tcBorders>
              <w:top w:val="nil"/>
              <w:left w:val="nil"/>
              <w:bottom w:val="nil"/>
              <w:right w:val="nil"/>
            </w:tcBorders>
            <w:shd w:val="clear" w:color="auto" w:fill="auto"/>
            <w:noWrap/>
            <w:vAlign w:val="bottom"/>
            <w:hideMark/>
          </w:tcPr>
          <w:p w14:paraId="2C135069" w14:textId="77777777" w:rsidR="00AE133A" w:rsidRPr="00AE133A" w:rsidRDefault="00AE133A" w:rsidP="00AE133A">
            <w:pPr>
              <w:widowControl/>
              <w:autoSpaceDE/>
              <w:autoSpaceDN/>
              <w:jc w:val="center"/>
              <w:rPr>
                <w:rFonts w:ascii="Calibri" w:hAnsi="Calibri" w:cs="Calibri"/>
                <w:lang w:val="en-IN" w:eastAsia="en-IN"/>
              </w:rPr>
            </w:pPr>
          </w:p>
        </w:tc>
        <w:tc>
          <w:tcPr>
            <w:tcW w:w="1520" w:type="dxa"/>
            <w:tcBorders>
              <w:top w:val="nil"/>
              <w:left w:val="nil"/>
              <w:bottom w:val="nil"/>
              <w:right w:val="nil"/>
            </w:tcBorders>
            <w:shd w:val="clear" w:color="auto" w:fill="auto"/>
            <w:noWrap/>
            <w:vAlign w:val="bottom"/>
            <w:hideMark/>
          </w:tcPr>
          <w:p w14:paraId="7C0096EB" w14:textId="77777777" w:rsidR="00AE133A" w:rsidRPr="00AE133A" w:rsidRDefault="00AE133A" w:rsidP="00AE133A">
            <w:pPr>
              <w:widowControl/>
              <w:autoSpaceDE/>
              <w:autoSpaceDN/>
              <w:jc w:val="center"/>
              <w:rPr>
                <w:lang w:val="en-IN" w:eastAsia="en-IN"/>
              </w:rPr>
            </w:pPr>
          </w:p>
        </w:tc>
      </w:tr>
      <w:tr w:rsidR="00AE133A" w:rsidRPr="00AE133A" w14:paraId="6C4E0C70" w14:textId="77777777" w:rsidTr="00AE133A">
        <w:trPr>
          <w:trHeight w:val="260"/>
        </w:trPr>
        <w:tc>
          <w:tcPr>
            <w:tcW w:w="4140" w:type="dxa"/>
            <w:tcBorders>
              <w:top w:val="nil"/>
              <w:left w:val="nil"/>
              <w:bottom w:val="nil"/>
              <w:right w:val="nil"/>
            </w:tcBorders>
            <w:shd w:val="clear" w:color="auto" w:fill="auto"/>
            <w:noWrap/>
            <w:vAlign w:val="bottom"/>
            <w:hideMark/>
          </w:tcPr>
          <w:p w14:paraId="5A9CC7C9"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PM 2.5 Previous 2 week</w:t>
            </w:r>
          </w:p>
        </w:tc>
        <w:tc>
          <w:tcPr>
            <w:tcW w:w="1160" w:type="dxa"/>
            <w:tcBorders>
              <w:top w:val="nil"/>
              <w:left w:val="nil"/>
              <w:bottom w:val="nil"/>
              <w:right w:val="nil"/>
            </w:tcBorders>
            <w:shd w:val="clear" w:color="auto" w:fill="auto"/>
            <w:noWrap/>
            <w:vAlign w:val="bottom"/>
            <w:hideMark/>
          </w:tcPr>
          <w:p w14:paraId="4BA940A3" w14:textId="77777777" w:rsidR="00AE133A" w:rsidRPr="00AE133A" w:rsidRDefault="00AE133A" w:rsidP="00AE133A">
            <w:pPr>
              <w:widowControl/>
              <w:autoSpaceDE/>
              <w:autoSpaceDN/>
              <w:rPr>
                <w:rFonts w:ascii="Calibri" w:hAnsi="Calibri" w:cs="Calibri"/>
                <w:lang w:val="en-IN" w:eastAsia="en-IN"/>
              </w:rPr>
            </w:pPr>
          </w:p>
        </w:tc>
        <w:tc>
          <w:tcPr>
            <w:tcW w:w="1340" w:type="dxa"/>
            <w:tcBorders>
              <w:top w:val="nil"/>
              <w:left w:val="nil"/>
              <w:bottom w:val="nil"/>
              <w:right w:val="nil"/>
            </w:tcBorders>
            <w:shd w:val="clear" w:color="auto" w:fill="auto"/>
            <w:noWrap/>
            <w:vAlign w:val="bottom"/>
            <w:hideMark/>
          </w:tcPr>
          <w:p w14:paraId="37218628"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1C24775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0.121***</w:t>
            </w:r>
          </w:p>
        </w:tc>
        <w:tc>
          <w:tcPr>
            <w:tcW w:w="1520" w:type="dxa"/>
            <w:tcBorders>
              <w:top w:val="nil"/>
              <w:left w:val="nil"/>
              <w:bottom w:val="nil"/>
              <w:right w:val="nil"/>
            </w:tcBorders>
            <w:shd w:val="clear" w:color="auto" w:fill="auto"/>
            <w:noWrap/>
            <w:vAlign w:val="bottom"/>
            <w:hideMark/>
          </w:tcPr>
          <w:p w14:paraId="3E01F62E" w14:textId="77777777" w:rsidR="00AE133A" w:rsidRPr="00AE133A" w:rsidRDefault="00AE133A" w:rsidP="00AE133A">
            <w:pPr>
              <w:widowControl/>
              <w:autoSpaceDE/>
              <w:autoSpaceDN/>
              <w:jc w:val="center"/>
              <w:rPr>
                <w:rFonts w:ascii="Calibri" w:hAnsi="Calibri" w:cs="Calibri"/>
                <w:lang w:val="en-IN" w:eastAsia="en-IN"/>
              </w:rPr>
            </w:pPr>
          </w:p>
        </w:tc>
      </w:tr>
      <w:tr w:rsidR="00AE133A" w:rsidRPr="00AE133A" w14:paraId="6CA7ABF4" w14:textId="77777777" w:rsidTr="00AE133A">
        <w:trPr>
          <w:trHeight w:val="260"/>
        </w:trPr>
        <w:tc>
          <w:tcPr>
            <w:tcW w:w="4140" w:type="dxa"/>
            <w:tcBorders>
              <w:top w:val="nil"/>
              <w:left w:val="nil"/>
              <w:bottom w:val="nil"/>
              <w:right w:val="nil"/>
            </w:tcBorders>
            <w:shd w:val="clear" w:color="auto" w:fill="auto"/>
            <w:noWrap/>
            <w:vAlign w:val="bottom"/>
            <w:hideMark/>
          </w:tcPr>
          <w:p w14:paraId="09401AB4" w14:textId="77777777" w:rsidR="00AE133A" w:rsidRPr="00AE133A" w:rsidRDefault="00AE133A" w:rsidP="00AE133A">
            <w:pPr>
              <w:widowControl/>
              <w:autoSpaceDE/>
              <w:autoSpaceDN/>
              <w:jc w:val="center"/>
              <w:rPr>
                <w:lang w:val="en-IN" w:eastAsia="en-IN"/>
              </w:rPr>
            </w:pPr>
          </w:p>
        </w:tc>
        <w:tc>
          <w:tcPr>
            <w:tcW w:w="1160" w:type="dxa"/>
            <w:tcBorders>
              <w:top w:val="nil"/>
              <w:left w:val="nil"/>
              <w:bottom w:val="nil"/>
              <w:right w:val="nil"/>
            </w:tcBorders>
            <w:shd w:val="clear" w:color="auto" w:fill="auto"/>
            <w:noWrap/>
            <w:vAlign w:val="bottom"/>
            <w:hideMark/>
          </w:tcPr>
          <w:p w14:paraId="7B4D2229" w14:textId="77777777" w:rsidR="00AE133A" w:rsidRPr="00AE133A" w:rsidRDefault="00AE133A" w:rsidP="00AE133A">
            <w:pPr>
              <w:widowControl/>
              <w:autoSpaceDE/>
              <w:autoSpaceDN/>
              <w:rPr>
                <w:lang w:val="en-IN" w:eastAsia="en-IN"/>
              </w:rPr>
            </w:pPr>
          </w:p>
        </w:tc>
        <w:tc>
          <w:tcPr>
            <w:tcW w:w="1340" w:type="dxa"/>
            <w:tcBorders>
              <w:top w:val="nil"/>
              <w:left w:val="nil"/>
              <w:bottom w:val="nil"/>
              <w:right w:val="nil"/>
            </w:tcBorders>
            <w:shd w:val="clear" w:color="auto" w:fill="auto"/>
            <w:noWrap/>
            <w:vAlign w:val="bottom"/>
            <w:hideMark/>
          </w:tcPr>
          <w:p w14:paraId="592476A1"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66E7E284"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(0.007)</w:t>
            </w:r>
          </w:p>
        </w:tc>
        <w:tc>
          <w:tcPr>
            <w:tcW w:w="1520" w:type="dxa"/>
            <w:tcBorders>
              <w:top w:val="nil"/>
              <w:left w:val="nil"/>
              <w:bottom w:val="nil"/>
              <w:right w:val="nil"/>
            </w:tcBorders>
            <w:shd w:val="clear" w:color="auto" w:fill="auto"/>
            <w:noWrap/>
            <w:vAlign w:val="bottom"/>
            <w:hideMark/>
          </w:tcPr>
          <w:p w14:paraId="68E9CE99" w14:textId="77777777" w:rsidR="00AE133A" w:rsidRPr="00AE133A" w:rsidRDefault="00AE133A" w:rsidP="00AE133A">
            <w:pPr>
              <w:widowControl/>
              <w:autoSpaceDE/>
              <w:autoSpaceDN/>
              <w:jc w:val="center"/>
              <w:rPr>
                <w:rFonts w:ascii="Calibri" w:hAnsi="Calibri" w:cs="Calibri"/>
                <w:lang w:val="en-IN" w:eastAsia="en-IN"/>
              </w:rPr>
            </w:pPr>
          </w:p>
        </w:tc>
      </w:tr>
      <w:tr w:rsidR="00AE133A" w:rsidRPr="00AE133A" w14:paraId="1A3B15F6" w14:textId="77777777" w:rsidTr="00AE133A">
        <w:trPr>
          <w:trHeight w:val="260"/>
        </w:trPr>
        <w:tc>
          <w:tcPr>
            <w:tcW w:w="4140" w:type="dxa"/>
            <w:tcBorders>
              <w:top w:val="nil"/>
              <w:left w:val="nil"/>
              <w:bottom w:val="nil"/>
              <w:right w:val="nil"/>
            </w:tcBorders>
            <w:shd w:val="clear" w:color="auto" w:fill="auto"/>
            <w:noWrap/>
            <w:vAlign w:val="bottom"/>
            <w:hideMark/>
          </w:tcPr>
          <w:p w14:paraId="777CB0D0"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PM 2.5 Previous 3 week</w:t>
            </w:r>
          </w:p>
        </w:tc>
        <w:tc>
          <w:tcPr>
            <w:tcW w:w="1160" w:type="dxa"/>
            <w:tcBorders>
              <w:top w:val="nil"/>
              <w:left w:val="nil"/>
              <w:bottom w:val="nil"/>
              <w:right w:val="nil"/>
            </w:tcBorders>
            <w:shd w:val="clear" w:color="auto" w:fill="auto"/>
            <w:noWrap/>
            <w:vAlign w:val="bottom"/>
            <w:hideMark/>
          </w:tcPr>
          <w:p w14:paraId="05982177" w14:textId="77777777" w:rsidR="00AE133A" w:rsidRPr="00AE133A" w:rsidRDefault="00AE133A" w:rsidP="00AE133A">
            <w:pPr>
              <w:widowControl/>
              <w:autoSpaceDE/>
              <w:autoSpaceDN/>
              <w:rPr>
                <w:rFonts w:ascii="Calibri" w:hAnsi="Calibri" w:cs="Calibri"/>
                <w:lang w:val="en-IN" w:eastAsia="en-IN"/>
              </w:rPr>
            </w:pPr>
          </w:p>
        </w:tc>
        <w:tc>
          <w:tcPr>
            <w:tcW w:w="1340" w:type="dxa"/>
            <w:tcBorders>
              <w:top w:val="nil"/>
              <w:left w:val="nil"/>
              <w:bottom w:val="nil"/>
              <w:right w:val="nil"/>
            </w:tcBorders>
            <w:shd w:val="clear" w:color="auto" w:fill="auto"/>
            <w:noWrap/>
            <w:vAlign w:val="bottom"/>
            <w:hideMark/>
          </w:tcPr>
          <w:p w14:paraId="3848761F"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4EE85D53"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43511FBB"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0.125***</w:t>
            </w:r>
          </w:p>
        </w:tc>
      </w:tr>
      <w:tr w:rsidR="00AE133A" w:rsidRPr="00AE133A" w14:paraId="69DBF32B" w14:textId="77777777" w:rsidTr="00AE133A">
        <w:trPr>
          <w:trHeight w:val="260"/>
        </w:trPr>
        <w:tc>
          <w:tcPr>
            <w:tcW w:w="4140" w:type="dxa"/>
            <w:tcBorders>
              <w:top w:val="nil"/>
              <w:left w:val="nil"/>
              <w:bottom w:val="nil"/>
              <w:right w:val="nil"/>
            </w:tcBorders>
            <w:shd w:val="clear" w:color="auto" w:fill="auto"/>
            <w:noWrap/>
            <w:vAlign w:val="bottom"/>
            <w:hideMark/>
          </w:tcPr>
          <w:p w14:paraId="67C64DB7" w14:textId="77777777" w:rsidR="00AE133A" w:rsidRPr="00AE133A" w:rsidRDefault="00AE133A" w:rsidP="00AE133A">
            <w:pPr>
              <w:widowControl/>
              <w:autoSpaceDE/>
              <w:autoSpaceDN/>
              <w:jc w:val="center"/>
              <w:rPr>
                <w:rFonts w:ascii="Calibri" w:hAnsi="Calibri" w:cs="Calibri"/>
                <w:lang w:val="en-IN" w:eastAsia="en-IN"/>
              </w:rPr>
            </w:pPr>
          </w:p>
        </w:tc>
        <w:tc>
          <w:tcPr>
            <w:tcW w:w="1160" w:type="dxa"/>
            <w:tcBorders>
              <w:top w:val="nil"/>
              <w:left w:val="nil"/>
              <w:bottom w:val="nil"/>
              <w:right w:val="nil"/>
            </w:tcBorders>
            <w:shd w:val="clear" w:color="auto" w:fill="auto"/>
            <w:noWrap/>
            <w:vAlign w:val="bottom"/>
            <w:hideMark/>
          </w:tcPr>
          <w:p w14:paraId="3DA04D08" w14:textId="77777777" w:rsidR="00AE133A" w:rsidRPr="00AE133A" w:rsidRDefault="00AE133A" w:rsidP="00AE133A">
            <w:pPr>
              <w:widowControl/>
              <w:autoSpaceDE/>
              <w:autoSpaceDN/>
              <w:rPr>
                <w:lang w:val="en-IN" w:eastAsia="en-IN"/>
              </w:rPr>
            </w:pPr>
          </w:p>
        </w:tc>
        <w:tc>
          <w:tcPr>
            <w:tcW w:w="1340" w:type="dxa"/>
            <w:tcBorders>
              <w:top w:val="nil"/>
              <w:left w:val="nil"/>
              <w:bottom w:val="nil"/>
              <w:right w:val="nil"/>
            </w:tcBorders>
            <w:shd w:val="clear" w:color="auto" w:fill="auto"/>
            <w:noWrap/>
            <w:vAlign w:val="bottom"/>
            <w:hideMark/>
          </w:tcPr>
          <w:p w14:paraId="49B806CB"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33E98040"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1FE9DD4F"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(0.008)</w:t>
            </w:r>
          </w:p>
        </w:tc>
      </w:tr>
      <w:tr w:rsidR="00AE133A" w:rsidRPr="00AE133A" w14:paraId="7BDCB997" w14:textId="77777777" w:rsidTr="00AE133A">
        <w:trPr>
          <w:trHeight w:val="260"/>
        </w:trPr>
        <w:tc>
          <w:tcPr>
            <w:tcW w:w="4140" w:type="dxa"/>
            <w:tcBorders>
              <w:top w:val="nil"/>
              <w:left w:val="nil"/>
              <w:bottom w:val="nil"/>
              <w:right w:val="nil"/>
            </w:tcBorders>
            <w:shd w:val="clear" w:color="auto" w:fill="auto"/>
            <w:noWrap/>
            <w:vAlign w:val="bottom"/>
            <w:hideMark/>
          </w:tcPr>
          <w:p w14:paraId="360C9FCC" w14:textId="77777777" w:rsidR="00AE133A" w:rsidRPr="00AE133A" w:rsidRDefault="00AE133A" w:rsidP="00AE133A">
            <w:pPr>
              <w:widowControl/>
              <w:autoSpaceDE/>
              <w:autoSpaceDN/>
              <w:jc w:val="center"/>
              <w:rPr>
                <w:rFonts w:ascii="Calibri" w:hAnsi="Calibri" w:cs="Calibri"/>
                <w:lang w:val="en-IN" w:eastAsia="en-IN"/>
              </w:rPr>
            </w:pPr>
          </w:p>
        </w:tc>
        <w:tc>
          <w:tcPr>
            <w:tcW w:w="1160" w:type="dxa"/>
            <w:tcBorders>
              <w:top w:val="nil"/>
              <w:left w:val="nil"/>
              <w:bottom w:val="nil"/>
              <w:right w:val="nil"/>
            </w:tcBorders>
            <w:shd w:val="clear" w:color="auto" w:fill="auto"/>
            <w:noWrap/>
            <w:vAlign w:val="bottom"/>
            <w:hideMark/>
          </w:tcPr>
          <w:p w14:paraId="1D5B3385" w14:textId="77777777" w:rsidR="00AE133A" w:rsidRPr="00AE133A" w:rsidRDefault="00AE133A" w:rsidP="00AE133A">
            <w:pPr>
              <w:widowControl/>
              <w:autoSpaceDE/>
              <w:autoSpaceDN/>
              <w:rPr>
                <w:lang w:val="en-IN" w:eastAsia="en-IN"/>
              </w:rPr>
            </w:pPr>
          </w:p>
        </w:tc>
        <w:tc>
          <w:tcPr>
            <w:tcW w:w="1340" w:type="dxa"/>
            <w:tcBorders>
              <w:top w:val="nil"/>
              <w:left w:val="nil"/>
              <w:bottom w:val="nil"/>
              <w:right w:val="nil"/>
            </w:tcBorders>
            <w:shd w:val="clear" w:color="auto" w:fill="auto"/>
            <w:noWrap/>
            <w:vAlign w:val="bottom"/>
            <w:hideMark/>
          </w:tcPr>
          <w:p w14:paraId="4ED44A0F"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412A0BFF"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051B1AB8" w14:textId="77777777" w:rsidR="00AE133A" w:rsidRPr="00AE133A" w:rsidRDefault="00AE133A" w:rsidP="00AE133A">
            <w:pPr>
              <w:widowControl/>
              <w:autoSpaceDE/>
              <w:autoSpaceDN/>
              <w:jc w:val="center"/>
              <w:rPr>
                <w:lang w:val="en-IN" w:eastAsia="en-IN"/>
              </w:rPr>
            </w:pPr>
          </w:p>
        </w:tc>
      </w:tr>
      <w:tr w:rsidR="00AE133A" w:rsidRPr="00AE133A" w14:paraId="444C1608" w14:textId="77777777" w:rsidTr="00AE133A">
        <w:trPr>
          <w:trHeight w:val="260"/>
        </w:trPr>
        <w:tc>
          <w:tcPr>
            <w:tcW w:w="4140" w:type="dxa"/>
            <w:tcBorders>
              <w:top w:val="nil"/>
              <w:left w:val="nil"/>
              <w:bottom w:val="nil"/>
              <w:right w:val="nil"/>
            </w:tcBorders>
            <w:shd w:val="clear" w:color="auto" w:fill="auto"/>
            <w:noWrap/>
            <w:vAlign w:val="bottom"/>
            <w:hideMark/>
          </w:tcPr>
          <w:p w14:paraId="5DC8D143"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Weather (rain, temperature)</w:t>
            </w:r>
          </w:p>
        </w:tc>
        <w:tc>
          <w:tcPr>
            <w:tcW w:w="1160" w:type="dxa"/>
            <w:tcBorders>
              <w:top w:val="nil"/>
              <w:left w:val="nil"/>
              <w:bottom w:val="nil"/>
              <w:right w:val="nil"/>
            </w:tcBorders>
            <w:shd w:val="clear" w:color="auto" w:fill="auto"/>
            <w:noWrap/>
            <w:vAlign w:val="bottom"/>
            <w:hideMark/>
          </w:tcPr>
          <w:p w14:paraId="7C10D778"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340" w:type="dxa"/>
            <w:tcBorders>
              <w:top w:val="nil"/>
              <w:left w:val="nil"/>
              <w:bottom w:val="nil"/>
              <w:right w:val="nil"/>
            </w:tcBorders>
            <w:shd w:val="clear" w:color="auto" w:fill="auto"/>
            <w:noWrap/>
            <w:vAlign w:val="bottom"/>
            <w:hideMark/>
          </w:tcPr>
          <w:p w14:paraId="2D271885"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4FE47EF5"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0BE75247"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r>
      <w:tr w:rsidR="00AE133A" w:rsidRPr="00AE133A" w14:paraId="58FAC0D0" w14:textId="77777777" w:rsidTr="00AE133A">
        <w:trPr>
          <w:trHeight w:val="260"/>
        </w:trPr>
        <w:tc>
          <w:tcPr>
            <w:tcW w:w="4140" w:type="dxa"/>
            <w:tcBorders>
              <w:top w:val="nil"/>
              <w:left w:val="nil"/>
              <w:bottom w:val="nil"/>
              <w:right w:val="nil"/>
            </w:tcBorders>
            <w:shd w:val="clear" w:color="auto" w:fill="auto"/>
            <w:noWrap/>
            <w:vAlign w:val="bottom"/>
            <w:hideMark/>
          </w:tcPr>
          <w:p w14:paraId="35F5F923"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Case covariates (disposition, purpose)</w:t>
            </w:r>
          </w:p>
        </w:tc>
        <w:tc>
          <w:tcPr>
            <w:tcW w:w="1160" w:type="dxa"/>
            <w:tcBorders>
              <w:top w:val="nil"/>
              <w:left w:val="nil"/>
              <w:bottom w:val="nil"/>
              <w:right w:val="nil"/>
            </w:tcBorders>
            <w:shd w:val="clear" w:color="auto" w:fill="auto"/>
            <w:noWrap/>
            <w:vAlign w:val="bottom"/>
            <w:hideMark/>
          </w:tcPr>
          <w:p w14:paraId="38639173"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340" w:type="dxa"/>
            <w:tcBorders>
              <w:top w:val="nil"/>
              <w:left w:val="nil"/>
              <w:bottom w:val="nil"/>
              <w:right w:val="nil"/>
            </w:tcBorders>
            <w:shd w:val="clear" w:color="auto" w:fill="auto"/>
            <w:noWrap/>
            <w:vAlign w:val="bottom"/>
            <w:hideMark/>
          </w:tcPr>
          <w:p w14:paraId="5ECFCB88"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64C009AE"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364039EB"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r>
      <w:tr w:rsidR="00AE133A" w:rsidRPr="00AE133A" w14:paraId="01971846" w14:textId="77777777" w:rsidTr="00AE133A">
        <w:trPr>
          <w:trHeight w:val="260"/>
        </w:trPr>
        <w:tc>
          <w:tcPr>
            <w:tcW w:w="4140" w:type="dxa"/>
            <w:tcBorders>
              <w:top w:val="nil"/>
              <w:left w:val="nil"/>
              <w:bottom w:val="nil"/>
              <w:right w:val="nil"/>
            </w:tcBorders>
            <w:shd w:val="clear" w:color="auto" w:fill="auto"/>
            <w:noWrap/>
            <w:vAlign w:val="bottom"/>
            <w:hideMark/>
          </w:tcPr>
          <w:p w14:paraId="26C3E09A"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Judge covariates (seniority levels, type of cases)</w:t>
            </w:r>
          </w:p>
        </w:tc>
        <w:tc>
          <w:tcPr>
            <w:tcW w:w="1160" w:type="dxa"/>
            <w:tcBorders>
              <w:top w:val="nil"/>
              <w:left w:val="nil"/>
              <w:bottom w:val="nil"/>
              <w:right w:val="nil"/>
            </w:tcBorders>
            <w:shd w:val="clear" w:color="auto" w:fill="auto"/>
            <w:noWrap/>
            <w:vAlign w:val="bottom"/>
            <w:hideMark/>
          </w:tcPr>
          <w:p w14:paraId="438C4325"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340" w:type="dxa"/>
            <w:tcBorders>
              <w:top w:val="nil"/>
              <w:left w:val="nil"/>
              <w:bottom w:val="nil"/>
              <w:right w:val="nil"/>
            </w:tcBorders>
            <w:shd w:val="clear" w:color="auto" w:fill="auto"/>
            <w:noWrap/>
            <w:vAlign w:val="bottom"/>
            <w:hideMark/>
          </w:tcPr>
          <w:p w14:paraId="76F8BC0D"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3F534837"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79064BCE"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r>
      <w:tr w:rsidR="00AE133A" w:rsidRPr="00AE133A" w14:paraId="74FFE860" w14:textId="77777777" w:rsidTr="00AE133A">
        <w:trPr>
          <w:trHeight w:val="260"/>
        </w:trPr>
        <w:tc>
          <w:tcPr>
            <w:tcW w:w="4140" w:type="dxa"/>
            <w:tcBorders>
              <w:top w:val="nil"/>
              <w:left w:val="nil"/>
              <w:bottom w:val="nil"/>
              <w:right w:val="nil"/>
            </w:tcBorders>
            <w:shd w:val="clear" w:color="auto" w:fill="auto"/>
            <w:noWrap/>
            <w:vAlign w:val="bottom"/>
            <w:hideMark/>
          </w:tcPr>
          <w:p w14:paraId="1C8AE16A"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Temporal controls</w:t>
            </w:r>
          </w:p>
        </w:tc>
        <w:tc>
          <w:tcPr>
            <w:tcW w:w="1160" w:type="dxa"/>
            <w:tcBorders>
              <w:top w:val="nil"/>
              <w:left w:val="nil"/>
              <w:bottom w:val="nil"/>
              <w:right w:val="nil"/>
            </w:tcBorders>
            <w:shd w:val="clear" w:color="auto" w:fill="auto"/>
            <w:noWrap/>
            <w:vAlign w:val="bottom"/>
            <w:hideMark/>
          </w:tcPr>
          <w:p w14:paraId="16F66AE4"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340" w:type="dxa"/>
            <w:tcBorders>
              <w:top w:val="nil"/>
              <w:left w:val="nil"/>
              <w:bottom w:val="nil"/>
              <w:right w:val="nil"/>
            </w:tcBorders>
            <w:shd w:val="clear" w:color="auto" w:fill="auto"/>
            <w:noWrap/>
            <w:vAlign w:val="bottom"/>
            <w:hideMark/>
          </w:tcPr>
          <w:p w14:paraId="066F6178"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79FAF00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2AD6296C"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r>
      <w:tr w:rsidR="00AE133A" w:rsidRPr="00AE133A" w14:paraId="61385B19" w14:textId="77777777" w:rsidTr="00AE133A">
        <w:trPr>
          <w:trHeight w:val="260"/>
        </w:trPr>
        <w:tc>
          <w:tcPr>
            <w:tcW w:w="4140" w:type="dxa"/>
            <w:tcBorders>
              <w:top w:val="nil"/>
              <w:left w:val="nil"/>
              <w:bottom w:val="nil"/>
              <w:right w:val="nil"/>
            </w:tcBorders>
            <w:shd w:val="clear" w:color="auto" w:fill="auto"/>
            <w:noWrap/>
            <w:vAlign w:val="bottom"/>
            <w:hideMark/>
          </w:tcPr>
          <w:p w14:paraId="1882AA68"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Court Fixed Effect</w:t>
            </w:r>
          </w:p>
        </w:tc>
        <w:tc>
          <w:tcPr>
            <w:tcW w:w="1160" w:type="dxa"/>
            <w:tcBorders>
              <w:top w:val="nil"/>
              <w:left w:val="nil"/>
              <w:bottom w:val="nil"/>
              <w:right w:val="nil"/>
            </w:tcBorders>
            <w:shd w:val="clear" w:color="auto" w:fill="auto"/>
            <w:noWrap/>
            <w:vAlign w:val="bottom"/>
            <w:hideMark/>
          </w:tcPr>
          <w:p w14:paraId="67D0114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340" w:type="dxa"/>
            <w:tcBorders>
              <w:top w:val="nil"/>
              <w:left w:val="nil"/>
              <w:bottom w:val="nil"/>
              <w:right w:val="nil"/>
            </w:tcBorders>
            <w:shd w:val="clear" w:color="auto" w:fill="auto"/>
            <w:noWrap/>
            <w:vAlign w:val="bottom"/>
            <w:hideMark/>
          </w:tcPr>
          <w:p w14:paraId="3432AA4E"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16BC34F3"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c>
          <w:tcPr>
            <w:tcW w:w="1520" w:type="dxa"/>
            <w:tcBorders>
              <w:top w:val="nil"/>
              <w:left w:val="nil"/>
              <w:bottom w:val="nil"/>
              <w:right w:val="nil"/>
            </w:tcBorders>
            <w:shd w:val="clear" w:color="auto" w:fill="auto"/>
            <w:noWrap/>
            <w:vAlign w:val="bottom"/>
            <w:hideMark/>
          </w:tcPr>
          <w:p w14:paraId="4D48141C"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Y</w:t>
            </w:r>
          </w:p>
        </w:tc>
      </w:tr>
      <w:tr w:rsidR="00AE133A" w:rsidRPr="00AE133A" w14:paraId="08E35F67" w14:textId="77777777" w:rsidTr="00AE133A">
        <w:trPr>
          <w:trHeight w:val="260"/>
        </w:trPr>
        <w:tc>
          <w:tcPr>
            <w:tcW w:w="4140" w:type="dxa"/>
            <w:tcBorders>
              <w:top w:val="nil"/>
              <w:left w:val="nil"/>
              <w:bottom w:val="nil"/>
              <w:right w:val="nil"/>
            </w:tcBorders>
            <w:shd w:val="clear" w:color="auto" w:fill="auto"/>
            <w:noWrap/>
            <w:vAlign w:val="bottom"/>
            <w:hideMark/>
          </w:tcPr>
          <w:p w14:paraId="4A0BC19F" w14:textId="77777777" w:rsidR="00AE133A" w:rsidRPr="00AE133A" w:rsidRDefault="00AE133A" w:rsidP="00AE133A">
            <w:pPr>
              <w:widowControl/>
              <w:autoSpaceDE/>
              <w:autoSpaceDN/>
              <w:jc w:val="center"/>
              <w:rPr>
                <w:rFonts w:ascii="Calibri" w:hAnsi="Calibri" w:cs="Calibri"/>
                <w:lang w:val="en-IN" w:eastAsia="en-IN"/>
              </w:rPr>
            </w:pPr>
          </w:p>
        </w:tc>
        <w:tc>
          <w:tcPr>
            <w:tcW w:w="1160" w:type="dxa"/>
            <w:tcBorders>
              <w:top w:val="nil"/>
              <w:left w:val="nil"/>
              <w:bottom w:val="nil"/>
              <w:right w:val="nil"/>
            </w:tcBorders>
            <w:shd w:val="clear" w:color="auto" w:fill="auto"/>
            <w:noWrap/>
            <w:vAlign w:val="bottom"/>
            <w:hideMark/>
          </w:tcPr>
          <w:p w14:paraId="400FCE0C" w14:textId="77777777" w:rsidR="00AE133A" w:rsidRPr="00AE133A" w:rsidRDefault="00AE133A" w:rsidP="00AE133A">
            <w:pPr>
              <w:widowControl/>
              <w:autoSpaceDE/>
              <w:autoSpaceDN/>
              <w:rPr>
                <w:lang w:val="en-IN" w:eastAsia="en-IN"/>
              </w:rPr>
            </w:pPr>
          </w:p>
        </w:tc>
        <w:tc>
          <w:tcPr>
            <w:tcW w:w="1340" w:type="dxa"/>
            <w:tcBorders>
              <w:top w:val="nil"/>
              <w:left w:val="nil"/>
              <w:bottom w:val="nil"/>
              <w:right w:val="nil"/>
            </w:tcBorders>
            <w:shd w:val="clear" w:color="auto" w:fill="auto"/>
            <w:noWrap/>
            <w:vAlign w:val="bottom"/>
            <w:hideMark/>
          </w:tcPr>
          <w:p w14:paraId="396081AB"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465B58C2" w14:textId="77777777" w:rsidR="00AE133A" w:rsidRPr="00AE133A" w:rsidRDefault="00AE133A" w:rsidP="00AE133A">
            <w:pPr>
              <w:widowControl/>
              <w:autoSpaceDE/>
              <w:autoSpaceDN/>
              <w:jc w:val="center"/>
              <w:rPr>
                <w:lang w:val="en-IN" w:eastAsia="en-IN"/>
              </w:rPr>
            </w:pPr>
          </w:p>
        </w:tc>
        <w:tc>
          <w:tcPr>
            <w:tcW w:w="1520" w:type="dxa"/>
            <w:tcBorders>
              <w:top w:val="nil"/>
              <w:left w:val="nil"/>
              <w:bottom w:val="nil"/>
              <w:right w:val="nil"/>
            </w:tcBorders>
            <w:shd w:val="clear" w:color="auto" w:fill="auto"/>
            <w:noWrap/>
            <w:vAlign w:val="bottom"/>
            <w:hideMark/>
          </w:tcPr>
          <w:p w14:paraId="3968E9F0" w14:textId="77777777" w:rsidR="00AE133A" w:rsidRPr="00AE133A" w:rsidRDefault="00AE133A" w:rsidP="00AE133A">
            <w:pPr>
              <w:widowControl/>
              <w:autoSpaceDE/>
              <w:autoSpaceDN/>
              <w:jc w:val="center"/>
              <w:rPr>
                <w:lang w:val="en-IN" w:eastAsia="en-IN"/>
              </w:rPr>
            </w:pPr>
          </w:p>
        </w:tc>
      </w:tr>
      <w:tr w:rsidR="00AE133A" w:rsidRPr="00AE133A" w14:paraId="0D1A7029" w14:textId="77777777" w:rsidTr="00AE133A">
        <w:trPr>
          <w:trHeight w:val="260"/>
        </w:trPr>
        <w:tc>
          <w:tcPr>
            <w:tcW w:w="4140" w:type="dxa"/>
            <w:tcBorders>
              <w:top w:val="nil"/>
              <w:left w:val="nil"/>
              <w:bottom w:val="nil"/>
              <w:right w:val="nil"/>
            </w:tcBorders>
            <w:shd w:val="clear" w:color="auto" w:fill="auto"/>
            <w:noWrap/>
            <w:vAlign w:val="bottom"/>
            <w:hideMark/>
          </w:tcPr>
          <w:p w14:paraId="15CFA346"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Observations</w:t>
            </w:r>
          </w:p>
        </w:tc>
        <w:tc>
          <w:tcPr>
            <w:tcW w:w="1160" w:type="dxa"/>
            <w:tcBorders>
              <w:top w:val="nil"/>
              <w:left w:val="nil"/>
              <w:bottom w:val="nil"/>
              <w:right w:val="nil"/>
            </w:tcBorders>
            <w:shd w:val="clear" w:color="auto" w:fill="auto"/>
            <w:noWrap/>
            <w:vAlign w:val="bottom"/>
            <w:hideMark/>
          </w:tcPr>
          <w:p w14:paraId="59B77863"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9,427</w:t>
            </w:r>
          </w:p>
        </w:tc>
        <w:tc>
          <w:tcPr>
            <w:tcW w:w="1340" w:type="dxa"/>
            <w:tcBorders>
              <w:top w:val="nil"/>
              <w:left w:val="nil"/>
              <w:bottom w:val="nil"/>
              <w:right w:val="nil"/>
            </w:tcBorders>
            <w:shd w:val="clear" w:color="auto" w:fill="auto"/>
            <w:noWrap/>
            <w:vAlign w:val="bottom"/>
            <w:hideMark/>
          </w:tcPr>
          <w:p w14:paraId="6E92648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7,470</w:t>
            </w:r>
          </w:p>
        </w:tc>
        <w:tc>
          <w:tcPr>
            <w:tcW w:w="1520" w:type="dxa"/>
            <w:tcBorders>
              <w:top w:val="nil"/>
              <w:left w:val="nil"/>
              <w:bottom w:val="nil"/>
              <w:right w:val="nil"/>
            </w:tcBorders>
            <w:shd w:val="clear" w:color="auto" w:fill="auto"/>
            <w:noWrap/>
            <w:vAlign w:val="bottom"/>
            <w:hideMark/>
          </w:tcPr>
          <w:p w14:paraId="012669FB"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3,202</w:t>
            </w:r>
          </w:p>
        </w:tc>
        <w:tc>
          <w:tcPr>
            <w:tcW w:w="1520" w:type="dxa"/>
            <w:tcBorders>
              <w:top w:val="nil"/>
              <w:left w:val="nil"/>
              <w:bottom w:val="nil"/>
              <w:right w:val="nil"/>
            </w:tcBorders>
            <w:shd w:val="clear" w:color="auto" w:fill="auto"/>
            <w:noWrap/>
            <w:vAlign w:val="bottom"/>
            <w:hideMark/>
          </w:tcPr>
          <w:p w14:paraId="39BC6FD1"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2,109</w:t>
            </w:r>
          </w:p>
        </w:tc>
      </w:tr>
      <w:tr w:rsidR="00AE133A" w:rsidRPr="00AE133A" w14:paraId="0A8C47F5" w14:textId="77777777" w:rsidTr="00AE133A">
        <w:trPr>
          <w:trHeight w:val="260"/>
        </w:trPr>
        <w:tc>
          <w:tcPr>
            <w:tcW w:w="4140" w:type="dxa"/>
            <w:tcBorders>
              <w:top w:val="nil"/>
              <w:left w:val="nil"/>
              <w:bottom w:val="nil"/>
              <w:right w:val="nil"/>
            </w:tcBorders>
            <w:shd w:val="clear" w:color="auto" w:fill="auto"/>
            <w:noWrap/>
            <w:vAlign w:val="bottom"/>
            <w:hideMark/>
          </w:tcPr>
          <w:p w14:paraId="4A4D7B8F"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R-squared</w:t>
            </w:r>
          </w:p>
        </w:tc>
        <w:tc>
          <w:tcPr>
            <w:tcW w:w="1160" w:type="dxa"/>
            <w:tcBorders>
              <w:top w:val="nil"/>
              <w:left w:val="nil"/>
              <w:bottom w:val="nil"/>
              <w:right w:val="nil"/>
            </w:tcBorders>
            <w:shd w:val="clear" w:color="auto" w:fill="auto"/>
            <w:noWrap/>
            <w:vAlign w:val="bottom"/>
            <w:hideMark/>
          </w:tcPr>
          <w:p w14:paraId="1989EC4D"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0.899</w:t>
            </w:r>
          </w:p>
        </w:tc>
        <w:tc>
          <w:tcPr>
            <w:tcW w:w="1340" w:type="dxa"/>
            <w:tcBorders>
              <w:top w:val="nil"/>
              <w:left w:val="nil"/>
              <w:bottom w:val="nil"/>
              <w:right w:val="nil"/>
            </w:tcBorders>
            <w:shd w:val="clear" w:color="auto" w:fill="auto"/>
            <w:noWrap/>
            <w:vAlign w:val="bottom"/>
            <w:hideMark/>
          </w:tcPr>
          <w:p w14:paraId="5B3B0729"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0.889</w:t>
            </w:r>
          </w:p>
        </w:tc>
        <w:tc>
          <w:tcPr>
            <w:tcW w:w="1520" w:type="dxa"/>
            <w:tcBorders>
              <w:top w:val="nil"/>
              <w:left w:val="nil"/>
              <w:bottom w:val="nil"/>
              <w:right w:val="nil"/>
            </w:tcBorders>
            <w:shd w:val="clear" w:color="auto" w:fill="auto"/>
            <w:noWrap/>
            <w:vAlign w:val="bottom"/>
            <w:hideMark/>
          </w:tcPr>
          <w:p w14:paraId="028E8AC9"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0.922</w:t>
            </w:r>
          </w:p>
        </w:tc>
        <w:tc>
          <w:tcPr>
            <w:tcW w:w="1520" w:type="dxa"/>
            <w:tcBorders>
              <w:top w:val="nil"/>
              <w:left w:val="nil"/>
              <w:bottom w:val="nil"/>
              <w:right w:val="nil"/>
            </w:tcBorders>
            <w:shd w:val="clear" w:color="auto" w:fill="auto"/>
            <w:noWrap/>
            <w:vAlign w:val="bottom"/>
            <w:hideMark/>
          </w:tcPr>
          <w:p w14:paraId="316F0129"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0.922</w:t>
            </w:r>
          </w:p>
        </w:tc>
      </w:tr>
      <w:tr w:rsidR="00AE133A" w:rsidRPr="00AE133A" w14:paraId="1BFE90D9" w14:textId="77777777" w:rsidTr="00AE133A">
        <w:trPr>
          <w:trHeight w:val="260"/>
        </w:trPr>
        <w:tc>
          <w:tcPr>
            <w:tcW w:w="4140" w:type="dxa"/>
            <w:tcBorders>
              <w:top w:val="nil"/>
              <w:left w:val="nil"/>
              <w:bottom w:val="nil"/>
              <w:right w:val="nil"/>
            </w:tcBorders>
            <w:shd w:val="clear" w:color="auto" w:fill="auto"/>
            <w:noWrap/>
            <w:vAlign w:val="bottom"/>
            <w:hideMark/>
          </w:tcPr>
          <w:p w14:paraId="42B1461D"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Outcome Mean</w:t>
            </w:r>
          </w:p>
        </w:tc>
        <w:tc>
          <w:tcPr>
            <w:tcW w:w="1160" w:type="dxa"/>
            <w:tcBorders>
              <w:top w:val="nil"/>
              <w:left w:val="nil"/>
              <w:bottom w:val="nil"/>
              <w:right w:val="nil"/>
            </w:tcBorders>
            <w:shd w:val="clear" w:color="auto" w:fill="auto"/>
            <w:noWrap/>
            <w:vAlign w:val="bottom"/>
            <w:hideMark/>
          </w:tcPr>
          <w:p w14:paraId="25DBA4A6"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63.52</w:t>
            </w:r>
          </w:p>
        </w:tc>
        <w:tc>
          <w:tcPr>
            <w:tcW w:w="1340" w:type="dxa"/>
            <w:tcBorders>
              <w:top w:val="nil"/>
              <w:left w:val="nil"/>
              <w:bottom w:val="nil"/>
              <w:right w:val="nil"/>
            </w:tcBorders>
            <w:shd w:val="clear" w:color="auto" w:fill="auto"/>
            <w:noWrap/>
            <w:vAlign w:val="bottom"/>
            <w:hideMark/>
          </w:tcPr>
          <w:p w14:paraId="76482D2C"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63.52</w:t>
            </w:r>
          </w:p>
        </w:tc>
        <w:tc>
          <w:tcPr>
            <w:tcW w:w="1520" w:type="dxa"/>
            <w:tcBorders>
              <w:top w:val="nil"/>
              <w:left w:val="nil"/>
              <w:bottom w:val="nil"/>
              <w:right w:val="nil"/>
            </w:tcBorders>
            <w:shd w:val="clear" w:color="auto" w:fill="auto"/>
            <w:noWrap/>
            <w:vAlign w:val="bottom"/>
            <w:hideMark/>
          </w:tcPr>
          <w:p w14:paraId="49F9EC04"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63.52</w:t>
            </w:r>
          </w:p>
        </w:tc>
        <w:tc>
          <w:tcPr>
            <w:tcW w:w="1520" w:type="dxa"/>
            <w:tcBorders>
              <w:top w:val="nil"/>
              <w:left w:val="nil"/>
              <w:bottom w:val="nil"/>
              <w:right w:val="nil"/>
            </w:tcBorders>
            <w:shd w:val="clear" w:color="auto" w:fill="auto"/>
            <w:noWrap/>
            <w:vAlign w:val="bottom"/>
            <w:hideMark/>
          </w:tcPr>
          <w:p w14:paraId="13E03930"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63.52</w:t>
            </w:r>
          </w:p>
        </w:tc>
      </w:tr>
      <w:tr w:rsidR="00AE133A" w:rsidRPr="00AE133A" w14:paraId="06815D7D" w14:textId="77777777" w:rsidTr="00AE133A">
        <w:trPr>
          <w:trHeight w:val="260"/>
        </w:trPr>
        <w:tc>
          <w:tcPr>
            <w:tcW w:w="4140" w:type="dxa"/>
            <w:tcBorders>
              <w:top w:val="nil"/>
              <w:left w:val="nil"/>
              <w:bottom w:val="single" w:sz="4" w:space="0" w:color="000000"/>
              <w:right w:val="nil"/>
            </w:tcBorders>
            <w:shd w:val="clear" w:color="auto" w:fill="auto"/>
            <w:noWrap/>
            <w:vAlign w:val="bottom"/>
            <w:hideMark/>
          </w:tcPr>
          <w:p w14:paraId="1007A755" w14:textId="77777777" w:rsidR="00AE133A" w:rsidRPr="00AE133A" w:rsidRDefault="00AE133A" w:rsidP="00AE133A">
            <w:pPr>
              <w:widowControl/>
              <w:autoSpaceDE/>
              <w:autoSpaceDN/>
              <w:rPr>
                <w:rFonts w:ascii="Calibri" w:hAnsi="Calibri" w:cs="Calibri"/>
                <w:lang w:val="en-IN" w:eastAsia="en-IN"/>
              </w:rPr>
            </w:pPr>
            <w:r w:rsidRPr="00AE133A">
              <w:rPr>
                <w:rFonts w:ascii="Calibri" w:hAnsi="Calibri" w:cs="Calibri"/>
                <w:lang w:val="en-IN" w:eastAsia="en-IN"/>
              </w:rPr>
              <w:t>Outcome SD</w:t>
            </w:r>
          </w:p>
        </w:tc>
        <w:tc>
          <w:tcPr>
            <w:tcW w:w="1160" w:type="dxa"/>
            <w:tcBorders>
              <w:top w:val="nil"/>
              <w:left w:val="nil"/>
              <w:bottom w:val="single" w:sz="4" w:space="0" w:color="000000"/>
              <w:right w:val="nil"/>
            </w:tcBorders>
            <w:shd w:val="clear" w:color="auto" w:fill="auto"/>
            <w:noWrap/>
            <w:vAlign w:val="bottom"/>
            <w:hideMark/>
          </w:tcPr>
          <w:p w14:paraId="10AB1AD5"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36.98</w:t>
            </w:r>
          </w:p>
        </w:tc>
        <w:tc>
          <w:tcPr>
            <w:tcW w:w="1340" w:type="dxa"/>
            <w:tcBorders>
              <w:top w:val="nil"/>
              <w:left w:val="nil"/>
              <w:bottom w:val="single" w:sz="4" w:space="0" w:color="000000"/>
              <w:right w:val="nil"/>
            </w:tcBorders>
            <w:shd w:val="clear" w:color="auto" w:fill="auto"/>
            <w:noWrap/>
            <w:vAlign w:val="bottom"/>
            <w:hideMark/>
          </w:tcPr>
          <w:p w14:paraId="0F3124A4"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36.98</w:t>
            </w:r>
          </w:p>
        </w:tc>
        <w:tc>
          <w:tcPr>
            <w:tcW w:w="1520" w:type="dxa"/>
            <w:tcBorders>
              <w:top w:val="nil"/>
              <w:left w:val="nil"/>
              <w:bottom w:val="single" w:sz="4" w:space="0" w:color="000000"/>
              <w:right w:val="nil"/>
            </w:tcBorders>
            <w:shd w:val="clear" w:color="auto" w:fill="auto"/>
            <w:noWrap/>
            <w:vAlign w:val="bottom"/>
            <w:hideMark/>
          </w:tcPr>
          <w:p w14:paraId="6B575116" w14:textId="77777777" w:rsidR="00AE133A" w:rsidRPr="00AE133A" w:rsidRDefault="00AE133A" w:rsidP="00AE133A">
            <w:pPr>
              <w:widowControl/>
              <w:autoSpaceDE/>
              <w:autoSpaceDN/>
              <w:jc w:val="center"/>
              <w:rPr>
                <w:rFonts w:ascii="Calibri" w:hAnsi="Calibri" w:cs="Calibri"/>
                <w:lang w:val="en-IN" w:eastAsia="en-IN"/>
              </w:rPr>
            </w:pPr>
            <w:r w:rsidRPr="00AE133A">
              <w:rPr>
                <w:rFonts w:ascii="Calibri" w:hAnsi="Calibri" w:cs="Calibri"/>
                <w:lang w:val="en-IN" w:eastAsia="en-IN"/>
              </w:rPr>
              <w:t>36.98</w:t>
            </w:r>
          </w:p>
        </w:tc>
        <w:tc>
          <w:tcPr>
            <w:tcW w:w="1520" w:type="dxa"/>
            <w:tcBorders>
              <w:top w:val="nil"/>
              <w:left w:val="nil"/>
              <w:bottom w:val="single" w:sz="4" w:space="0" w:color="000000"/>
              <w:right w:val="nil"/>
            </w:tcBorders>
            <w:shd w:val="clear" w:color="auto" w:fill="auto"/>
            <w:noWrap/>
            <w:vAlign w:val="bottom"/>
            <w:hideMark/>
          </w:tcPr>
          <w:p w14:paraId="0FCEAAF6" w14:textId="77777777" w:rsidR="00AE133A" w:rsidRPr="00AE133A" w:rsidRDefault="00AE133A" w:rsidP="00AE133A">
            <w:pPr>
              <w:keepNext/>
              <w:widowControl/>
              <w:autoSpaceDE/>
              <w:autoSpaceDN/>
              <w:jc w:val="center"/>
              <w:rPr>
                <w:rFonts w:ascii="Calibri" w:hAnsi="Calibri" w:cs="Calibri"/>
                <w:lang w:val="en-IN" w:eastAsia="en-IN"/>
              </w:rPr>
            </w:pPr>
            <w:r w:rsidRPr="00AE133A">
              <w:rPr>
                <w:rFonts w:ascii="Calibri" w:hAnsi="Calibri" w:cs="Calibri"/>
                <w:lang w:val="en-IN" w:eastAsia="en-IN"/>
              </w:rPr>
              <w:t>36.98</w:t>
            </w:r>
          </w:p>
        </w:tc>
      </w:tr>
    </w:tbl>
    <w:p w14:paraId="2A708D5F" w14:textId="77777777" w:rsidR="00490FD7" w:rsidRPr="00EC6F47" w:rsidRDefault="00AE133A" w:rsidP="00AE133A">
      <w:pPr>
        <w:pStyle w:val="Caption"/>
        <w:rPr>
          <w:rFonts w:asciiTheme="minorHAnsi" w:hAnsiTheme="minorHAnsi" w:cstheme="minorHAnsi"/>
          <w:i w:val="0"/>
          <w:iCs w:val="0"/>
          <w:color w:val="auto"/>
          <w:sz w:val="20"/>
          <w:szCs w:val="20"/>
        </w:rPr>
      </w:pPr>
      <w:r w:rsidRPr="00EC6F47">
        <w:rPr>
          <w:rFonts w:asciiTheme="minorHAnsi" w:hAnsiTheme="minorHAnsi" w:cstheme="minorHAnsi"/>
          <w:i w:val="0"/>
          <w:iCs w:val="0"/>
          <w:color w:val="auto"/>
          <w:sz w:val="20"/>
          <w:szCs w:val="20"/>
        </w:rPr>
        <w:t>Heteroskedasticity robust standard errors in parentheses. *** p  &lt; 0.01, ** p &lt; 0.05, * p &lt; 0.1.</w:t>
      </w:r>
    </w:p>
    <w:p w14:paraId="265E053F" w14:textId="03DD3343" w:rsidR="00EC6F47" w:rsidRDefault="00EC6F47" w:rsidP="00F35F5D">
      <w:pPr>
        <w:pStyle w:val="BodyText"/>
        <w:spacing w:before="248" w:line="276" w:lineRule="auto"/>
        <w:ind w:left="380" w:right="581"/>
      </w:pPr>
      <w:r w:rsidRPr="004F3376">
        <w:t xml:space="preserve">What do these estimates imply in terms of size? For this we can consider two ways of working out the </w:t>
      </w:r>
      <w:r w:rsidR="004F3376" w:rsidRPr="004F3376">
        <w:t>impact</w:t>
      </w:r>
      <w:r w:rsidRPr="004F3376">
        <w:t xml:space="preserve">. One, we can multiply the estimated coefficients by the standard deviation of the PM 2.5 </w:t>
      </w:r>
      <w:r w:rsidR="004F3376" w:rsidRPr="004F3376">
        <w:t>variable and</w:t>
      </w:r>
      <w:r w:rsidRPr="004F3376">
        <w:t xml:space="preserve"> calculate the relative impact in terms of standard deviations. The standard deviation of the PM 2.5 previous </w:t>
      </w:r>
      <w:r w:rsidR="004F3376" w:rsidRPr="004F3376">
        <w:t>1-day</w:t>
      </w:r>
      <w:r w:rsidRPr="004F3376">
        <w:t xml:space="preserve"> variable is </w:t>
      </w:r>
      <w:r w:rsidR="004F3376" w:rsidRPr="004F3376">
        <w:t xml:space="preserve">59, for example. Multiplying this by the estimated coefficient yields an impact of 1 day, amounting to a 0.03 </w:t>
      </w:r>
      <m:oMath>
        <m:r>
          <w:rPr>
            <w:rFonts w:ascii="Cambria Math" w:hAnsi="Cambria Math"/>
          </w:rPr>
          <m:t>σ</m:t>
        </m:r>
        <m:r>
          <m:rPr>
            <m:sty m:val="p"/>
          </m:rPr>
          <w:rPr>
            <w:rFonts w:ascii="Cambria Math" w:hAnsi="Cambria Math"/>
          </w:rPr>
          <m:t>.</m:t>
        </m:r>
      </m:oMath>
      <w:r w:rsidR="004F3376" w:rsidRPr="004F3376">
        <w:t xml:space="preserve"> </w:t>
      </w:r>
      <w:r w:rsidRPr="004F3376">
        <w:t xml:space="preserve">Two, we can do a similar calculation, but rather than use the standard deviation of PM 2.5, calculate the implied change if Delhi was to reduce its average PM 2.5 concentration levels down to WHO recommended levels. The average PM 2.5 concentration for the previous 1 day is 134, for instance. WHO recommends a level of 15, implying a difference of 119 </w:t>
      </w:r>
      <m:oMath>
        <m:r>
          <w:rPr>
            <w:rFonts w:ascii="Cambria Math" w:hAnsi="Cambria Math"/>
          </w:rPr>
          <m:t>μ</m:t>
        </m:r>
        <m:r>
          <m:rPr>
            <m:sty m:val="p"/>
          </m:rPr>
          <w:rPr>
            <w:rFonts w:ascii="Cambria Math" w:hAnsi="Cambria Math"/>
          </w:rPr>
          <m:t>/</m:t>
        </m:r>
        <m:sSup>
          <m:sSupPr>
            <m:ctrlPr>
              <w:rPr>
                <w:rFonts w:ascii="Cambria Math" w:hAnsi="Cambria Math"/>
              </w:rPr>
            </m:ctrlPr>
          </m:sSupPr>
          <m:e>
            <m:r>
              <w:rPr>
                <w:rFonts w:ascii="Cambria Math" w:hAnsi="Cambria Math"/>
              </w:rPr>
              <m:t>m</m:t>
            </m:r>
          </m:e>
          <m:sup>
            <m:r>
              <m:rPr>
                <m:sty m:val="p"/>
              </m:rPr>
              <w:rPr>
                <w:rFonts w:ascii="Cambria Math" w:hAnsi="Cambria Math"/>
              </w:rPr>
              <m:t>3</m:t>
            </m:r>
          </m:sup>
        </m:sSup>
      </m:oMath>
      <w:r w:rsidRPr="004F3376">
        <w:t xml:space="preserve">. Multiplying this by the estimated coefficient (in column 1) yields an </w:t>
      </w:r>
      <w:r w:rsidR="004F3376" w:rsidRPr="004F3376">
        <w:t>impact of</w:t>
      </w:r>
      <w:r w:rsidRPr="004F3376">
        <w:t xml:space="preserve"> 2 days, amounting to an impact of 0.05 </w:t>
      </w:r>
      <m:oMath>
        <m:r>
          <w:rPr>
            <w:rFonts w:ascii="Cambria Math" w:hAnsi="Cambria Math"/>
          </w:rPr>
          <m:t>σ</m:t>
        </m:r>
      </m:oMath>
      <w:r w:rsidRPr="004F3376">
        <w:t>.</w:t>
      </w:r>
      <w:r w:rsidR="004F3376" w:rsidRPr="004F3376">
        <w:t xml:space="preserve"> Table 4 presents the related estimates across both ways and all four definitions</w:t>
      </w:r>
      <w:r w:rsidR="00892EA2">
        <w:t>, including what the estimates imply in terms of average case durations.</w:t>
      </w:r>
    </w:p>
    <w:p w14:paraId="5700842E" w14:textId="3D6FF052" w:rsidR="00892EA2" w:rsidRDefault="002377A7" w:rsidP="00F35F5D">
      <w:pPr>
        <w:pStyle w:val="BodyText"/>
        <w:spacing w:before="248" w:line="276" w:lineRule="auto"/>
        <w:ind w:left="380" w:right="581"/>
      </w:pPr>
      <w:r>
        <w:t xml:space="preserve">The main takeaway from table 4 is that longer exposure to poor air quality has larger impacts on productivity. It also appears the relationship is non-linear: there appears to be a jump in the effect of poor air quality lasting more than a fortnight compared to poor air quality for the last </w:t>
      </w:r>
      <w:r>
        <w:lastRenderedPageBreak/>
        <w:t xml:space="preserve">week. </w:t>
      </w:r>
      <w:r w:rsidR="00F35F5D">
        <w:t xml:space="preserve">Calculating exposure over a </w:t>
      </w:r>
      <w:proofErr w:type="gramStart"/>
      <w:r w:rsidR="00F35F5D">
        <w:t>three week</w:t>
      </w:r>
      <w:proofErr w:type="gramEnd"/>
      <w:r w:rsidR="00F35F5D">
        <w:t xml:space="preserve"> period suggests improving air quality will lead to a 17% to 25% improvement in judicial productivity, or a 0.3 to 0.4 standard deviation change.</w:t>
      </w:r>
    </w:p>
    <w:p w14:paraId="1CC0595D" w14:textId="77777777" w:rsidR="00F35F5D" w:rsidRDefault="00F35F5D" w:rsidP="004F3376">
      <w:pPr>
        <w:spacing w:line="276" w:lineRule="auto"/>
        <w:rPr>
          <w:sz w:val="24"/>
          <w:szCs w:val="24"/>
        </w:rPr>
      </w:pPr>
    </w:p>
    <w:p w14:paraId="4DAC3850" w14:textId="12C95E1E" w:rsidR="006611D5" w:rsidRPr="006611D5" w:rsidRDefault="006611D5" w:rsidP="006611D5">
      <w:pPr>
        <w:pStyle w:val="Caption"/>
        <w:keepNext/>
        <w:jc w:val="center"/>
        <w:rPr>
          <w:b/>
          <w:bCs/>
          <w:i w:val="0"/>
          <w:iCs w:val="0"/>
          <w:color w:val="auto"/>
          <w:sz w:val="28"/>
          <w:szCs w:val="28"/>
        </w:rPr>
      </w:pPr>
      <w:r w:rsidRPr="006611D5">
        <w:rPr>
          <w:b/>
          <w:bCs/>
          <w:i w:val="0"/>
          <w:iCs w:val="0"/>
          <w:color w:val="auto"/>
          <w:sz w:val="28"/>
          <w:szCs w:val="28"/>
        </w:rPr>
        <w:t>Table 4: Implied Reductions in Case Durations from Reducing Air Pollution, calculated using the estimates in Table 3 above</w:t>
      </w:r>
    </w:p>
    <w:tbl>
      <w:tblPr>
        <w:tblW w:w="0" w:type="auto"/>
        <w:tblInd w:w="108" w:type="dxa"/>
        <w:tblLook w:val="04A0" w:firstRow="1" w:lastRow="0" w:firstColumn="1" w:lastColumn="0" w:noHBand="0" w:noVBand="1"/>
      </w:tblPr>
      <w:tblGrid>
        <w:gridCol w:w="1487"/>
        <w:gridCol w:w="1737"/>
        <w:gridCol w:w="2553"/>
        <w:gridCol w:w="221"/>
        <w:gridCol w:w="1737"/>
        <w:gridCol w:w="2553"/>
      </w:tblGrid>
      <w:tr w:rsidR="005C2297" w:rsidRPr="005C2297" w14:paraId="4B9B1BB7" w14:textId="77777777" w:rsidTr="006611D5">
        <w:trPr>
          <w:trHeight w:val="290"/>
        </w:trPr>
        <w:tc>
          <w:tcPr>
            <w:tcW w:w="0" w:type="auto"/>
            <w:tcBorders>
              <w:top w:val="single" w:sz="4" w:space="0" w:color="auto"/>
              <w:left w:val="nil"/>
              <w:bottom w:val="nil"/>
              <w:right w:val="nil"/>
            </w:tcBorders>
            <w:shd w:val="clear" w:color="auto" w:fill="auto"/>
            <w:noWrap/>
            <w:vAlign w:val="bottom"/>
            <w:hideMark/>
          </w:tcPr>
          <w:p w14:paraId="649F26C0" w14:textId="77777777" w:rsidR="005C2297" w:rsidRPr="005C2297" w:rsidRDefault="005C2297" w:rsidP="005C2297">
            <w:pPr>
              <w:widowControl/>
              <w:autoSpaceDE/>
              <w:autoSpaceDN/>
              <w:rPr>
                <w:sz w:val="24"/>
                <w:szCs w:val="24"/>
                <w:lang w:val="en-IN" w:eastAsia="en-IN"/>
              </w:rPr>
            </w:pPr>
          </w:p>
        </w:tc>
        <w:tc>
          <w:tcPr>
            <w:tcW w:w="0" w:type="auto"/>
            <w:gridSpan w:val="2"/>
            <w:tcBorders>
              <w:top w:val="single" w:sz="4" w:space="0" w:color="auto"/>
              <w:left w:val="nil"/>
              <w:bottom w:val="single" w:sz="4" w:space="0" w:color="auto"/>
              <w:right w:val="nil"/>
            </w:tcBorders>
            <w:shd w:val="clear" w:color="auto" w:fill="auto"/>
            <w:noWrap/>
            <w:vAlign w:val="bottom"/>
            <w:hideMark/>
          </w:tcPr>
          <w:p w14:paraId="489E929A" w14:textId="77777777" w:rsidR="005C2297" w:rsidRPr="005C2297" w:rsidRDefault="005C2297" w:rsidP="005C2297">
            <w:pPr>
              <w:widowControl/>
              <w:autoSpaceDE/>
              <w:autoSpaceDN/>
              <w:jc w:val="center"/>
              <w:rPr>
                <w:rFonts w:ascii="Aptos Narrow" w:hAnsi="Aptos Narrow"/>
                <w:color w:val="000000"/>
                <w:lang w:val="en-IN" w:eastAsia="en-IN"/>
              </w:rPr>
            </w:pPr>
            <w:r w:rsidRPr="005C2297">
              <w:rPr>
                <w:rFonts w:ascii="Aptos Narrow" w:hAnsi="Aptos Narrow"/>
                <w:color w:val="000000"/>
                <w:lang w:val="en-IN" w:eastAsia="en-IN"/>
              </w:rPr>
              <w:t>Reducing PM 2.5 exposure by 1 SD</w:t>
            </w:r>
          </w:p>
        </w:tc>
        <w:tc>
          <w:tcPr>
            <w:tcW w:w="0" w:type="auto"/>
            <w:tcBorders>
              <w:top w:val="single" w:sz="4" w:space="0" w:color="auto"/>
              <w:left w:val="nil"/>
              <w:right w:val="nil"/>
            </w:tcBorders>
            <w:shd w:val="clear" w:color="auto" w:fill="auto"/>
            <w:noWrap/>
            <w:vAlign w:val="bottom"/>
            <w:hideMark/>
          </w:tcPr>
          <w:p w14:paraId="066B0BA5" w14:textId="77777777" w:rsidR="005C2297" w:rsidRPr="005C2297" w:rsidRDefault="005C2297" w:rsidP="005C2297">
            <w:pPr>
              <w:widowControl/>
              <w:autoSpaceDE/>
              <w:autoSpaceDN/>
              <w:jc w:val="center"/>
              <w:rPr>
                <w:rFonts w:ascii="Aptos Narrow" w:hAnsi="Aptos Narrow"/>
                <w:color w:val="000000"/>
                <w:lang w:val="en-IN" w:eastAsia="en-IN"/>
              </w:rPr>
            </w:pPr>
          </w:p>
        </w:tc>
        <w:tc>
          <w:tcPr>
            <w:tcW w:w="0" w:type="auto"/>
            <w:gridSpan w:val="2"/>
            <w:tcBorders>
              <w:top w:val="single" w:sz="4" w:space="0" w:color="auto"/>
              <w:left w:val="nil"/>
              <w:bottom w:val="single" w:sz="4" w:space="0" w:color="auto"/>
              <w:right w:val="nil"/>
            </w:tcBorders>
            <w:shd w:val="clear" w:color="auto" w:fill="auto"/>
            <w:noWrap/>
            <w:vAlign w:val="bottom"/>
            <w:hideMark/>
          </w:tcPr>
          <w:p w14:paraId="53AA696B" w14:textId="77777777" w:rsidR="005C2297" w:rsidRPr="005C2297" w:rsidRDefault="005C2297" w:rsidP="005C2297">
            <w:pPr>
              <w:widowControl/>
              <w:autoSpaceDE/>
              <w:autoSpaceDN/>
              <w:jc w:val="center"/>
              <w:rPr>
                <w:rFonts w:ascii="Aptos Narrow" w:hAnsi="Aptos Narrow"/>
                <w:color w:val="000000"/>
                <w:lang w:val="en-IN" w:eastAsia="en-IN"/>
              </w:rPr>
            </w:pPr>
            <w:r w:rsidRPr="005C2297">
              <w:rPr>
                <w:rFonts w:ascii="Aptos Narrow" w:hAnsi="Aptos Narrow"/>
                <w:color w:val="000000"/>
                <w:lang w:val="en-IN" w:eastAsia="en-IN"/>
              </w:rPr>
              <w:t xml:space="preserve">Reducing PM 2.5 exposure to WHO </w:t>
            </w:r>
            <w:proofErr w:type="gramStart"/>
            <w:r w:rsidRPr="005C2297">
              <w:rPr>
                <w:rFonts w:ascii="Aptos Narrow" w:hAnsi="Aptos Narrow"/>
                <w:color w:val="000000"/>
                <w:lang w:val="en-IN" w:eastAsia="en-IN"/>
              </w:rPr>
              <w:t>24 hour</w:t>
            </w:r>
            <w:proofErr w:type="gramEnd"/>
            <w:r w:rsidRPr="005C2297">
              <w:rPr>
                <w:rFonts w:ascii="Aptos Narrow" w:hAnsi="Aptos Narrow"/>
                <w:color w:val="000000"/>
                <w:lang w:val="en-IN" w:eastAsia="en-IN"/>
              </w:rPr>
              <w:t xml:space="preserve"> standard</w:t>
            </w:r>
          </w:p>
        </w:tc>
      </w:tr>
      <w:tr w:rsidR="005C2297" w:rsidRPr="005C2297" w14:paraId="32AEA402" w14:textId="77777777" w:rsidTr="006611D5">
        <w:trPr>
          <w:trHeight w:val="290"/>
        </w:trPr>
        <w:tc>
          <w:tcPr>
            <w:tcW w:w="0" w:type="auto"/>
            <w:tcBorders>
              <w:top w:val="nil"/>
              <w:left w:val="nil"/>
              <w:bottom w:val="nil"/>
              <w:right w:val="nil"/>
            </w:tcBorders>
            <w:shd w:val="clear" w:color="auto" w:fill="auto"/>
            <w:noWrap/>
            <w:vAlign w:val="bottom"/>
            <w:hideMark/>
          </w:tcPr>
          <w:p w14:paraId="18832043" w14:textId="77777777" w:rsidR="005C2297" w:rsidRPr="005C2297" w:rsidRDefault="005C2297" w:rsidP="005C2297">
            <w:pPr>
              <w:widowControl/>
              <w:autoSpaceDE/>
              <w:autoSpaceDN/>
              <w:jc w:val="center"/>
              <w:rPr>
                <w:rFonts w:ascii="Aptos Narrow" w:hAnsi="Aptos Narrow"/>
                <w:color w:val="000000"/>
                <w:lang w:val="en-IN" w:eastAsia="en-IN"/>
              </w:rPr>
            </w:pPr>
          </w:p>
        </w:tc>
        <w:tc>
          <w:tcPr>
            <w:tcW w:w="0" w:type="auto"/>
            <w:tcBorders>
              <w:top w:val="single" w:sz="4" w:space="0" w:color="auto"/>
              <w:left w:val="nil"/>
              <w:bottom w:val="single" w:sz="4" w:space="0" w:color="auto"/>
              <w:right w:val="nil"/>
            </w:tcBorders>
            <w:shd w:val="clear" w:color="auto" w:fill="auto"/>
            <w:noWrap/>
            <w:vAlign w:val="bottom"/>
            <w:hideMark/>
          </w:tcPr>
          <w:p w14:paraId="79796993" w14:textId="77777777" w:rsidR="005C2297" w:rsidRPr="005C2297" w:rsidRDefault="005C2297" w:rsidP="006611D5">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In terms of averages</w:t>
            </w:r>
          </w:p>
        </w:tc>
        <w:tc>
          <w:tcPr>
            <w:tcW w:w="0" w:type="auto"/>
            <w:tcBorders>
              <w:top w:val="single" w:sz="4" w:space="0" w:color="auto"/>
              <w:left w:val="nil"/>
              <w:bottom w:val="single" w:sz="4" w:space="0" w:color="auto"/>
              <w:right w:val="nil"/>
            </w:tcBorders>
            <w:shd w:val="clear" w:color="auto" w:fill="auto"/>
            <w:noWrap/>
            <w:vAlign w:val="bottom"/>
            <w:hideMark/>
          </w:tcPr>
          <w:p w14:paraId="41D4384B" w14:textId="77777777" w:rsidR="005C2297" w:rsidRPr="005C2297" w:rsidRDefault="005C2297" w:rsidP="006611D5">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In terms of standard deviations</w:t>
            </w:r>
          </w:p>
        </w:tc>
        <w:tc>
          <w:tcPr>
            <w:tcW w:w="0" w:type="auto"/>
            <w:tcBorders>
              <w:top w:val="nil"/>
              <w:left w:val="nil"/>
              <w:right w:val="nil"/>
            </w:tcBorders>
            <w:shd w:val="clear" w:color="auto" w:fill="auto"/>
            <w:noWrap/>
            <w:vAlign w:val="bottom"/>
            <w:hideMark/>
          </w:tcPr>
          <w:p w14:paraId="058073E2" w14:textId="77777777" w:rsidR="005C2297" w:rsidRPr="005C2297" w:rsidRDefault="005C2297" w:rsidP="006611D5">
            <w:pPr>
              <w:widowControl/>
              <w:autoSpaceDE/>
              <w:autoSpaceDN/>
              <w:jc w:val="right"/>
              <w:rPr>
                <w:rFonts w:ascii="Aptos Narrow" w:hAnsi="Aptos Narrow"/>
                <w:color w:val="000000"/>
                <w:lang w:val="en-IN" w:eastAsia="en-IN"/>
              </w:rPr>
            </w:pPr>
          </w:p>
        </w:tc>
        <w:tc>
          <w:tcPr>
            <w:tcW w:w="0" w:type="auto"/>
            <w:tcBorders>
              <w:top w:val="single" w:sz="4" w:space="0" w:color="auto"/>
              <w:left w:val="nil"/>
              <w:bottom w:val="single" w:sz="4" w:space="0" w:color="auto"/>
              <w:right w:val="nil"/>
            </w:tcBorders>
            <w:shd w:val="clear" w:color="auto" w:fill="auto"/>
            <w:noWrap/>
            <w:vAlign w:val="bottom"/>
            <w:hideMark/>
          </w:tcPr>
          <w:p w14:paraId="2BEA6864" w14:textId="77777777" w:rsidR="005C2297" w:rsidRPr="005C2297" w:rsidRDefault="005C2297" w:rsidP="006611D5">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In terms of averages</w:t>
            </w:r>
          </w:p>
        </w:tc>
        <w:tc>
          <w:tcPr>
            <w:tcW w:w="0" w:type="auto"/>
            <w:tcBorders>
              <w:top w:val="single" w:sz="4" w:space="0" w:color="auto"/>
              <w:left w:val="nil"/>
              <w:bottom w:val="single" w:sz="4" w:space="0" w:color="auto"/>
              <w:right w:val="nil"/>
            </w:tcBorders>
            <w:shd w:val="clear" w:color="auto" w:fill="auto"/>
            <w:noWrap/>
            <w:vAlign w:val="bottom"/>
            <w:hideMark/>
          </w:tcPr>
          <w:p w14:paraId="5AB37C26" w14:textId="77777777" w:rsidR="005C2297" w:rsidRPr="005C2297" w:rsidRDefault="005C2297" w:rsidP="006611D5">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In terms of standard deviations</w:t>
            </w:r>
          </w:p>
        </w:tc>
      </w:tr>
      <w:tr w:rsidR="005C2297" w:rsidRPr="005C2297" w14:paraId="1436FC46" w14:textId="77777777" w:rsidTr="006611D5">
        <w:trPr>
          <w:trHeight w:val="290"/>
        </w:trPr>
        <w:tc>
          <w:tcPr>
            <w:tcW w:w="0" w:type="auto"/>
            <w:tcBorders>
              <w:top w:val="nil"/>
              <w:left w:val="nil"/>
              <w:bottom w:val="nil"/>
              <w:right w:val="nil"/>
            </w:tcBorders>
            <w:shd w:val="clear" w:color="auto" w:fill="auto"/>
            <w:noWrap/>
            <w:vAlign w:val="bottom"/>
            <w:hideMark/>
          </w:tcPr>
          <w:p w14:paraId="70D6B146" w14:textId="77777777" w:rsidR="005C2297" w:rsidRPr="005C2297" w:rsidRDefault="005C2297" w:rsidP="005C2297">
            <w:pPr>
              <w:widowControl/>
              <w:autoSpaceDE/>
              <w:autoSpaceDN/>
              <w:rPr>
                <w:rFonts w:ascii="Aptos Narrow" w:hAnsi="Aptos Narrow"/>
                <w:color w:val="000000"/>
                <w:lang w:val="en-IN" w:eastAsia="en-IN"/>
              </w:rPr>
            </w:pPr>
            <w:r w:rsidRPr="005C2297">
              <w:rPr>
                <w:rFonts w:ascii="Aptos Narrow" w:hAnsi="Aptos Narrow"/>
                <w:color w:val="000000"/>
                <w:lang w:val="en-IN" w:eastAsia="en-IN"/>
              </w:rPr>
              <w:t>PM 2.5 measure:</w:t>
            </w:r>
          </w:p>
        </w:tc>
        <w:tc>
          <w:tcPr>
            <w:tcW w:w="0" w:type="auto"/>
            <w:tcBorders>
              <w:top w:val="single" w:sz="4" w:space="0" w:color="auto"/>
              <w:left w:val="nil"/>
              <w:bottom w:val="nil"/>
              <w:right w:val="nil"/>
            </w:tcBorders>
            <w:shd w:val="clear" w:color="auto" w:fill="auto"/>
            <w:noWrap/>
            <w:vAlign w:val="bottom"/>
            <w:hideMark/>
          </w:tcPr>
          <w:p w14:paraId="775BAE62" w14:textId="77777777" w:rsidR="005C2297" w:rsidRPr="005C2297" w:rsidRDefault="005C2297" w:rsidP="005C2297">
            <w:pPr>
              <w:widowControl/>
              <w:autoSpaceDE/>
              <w:autoSpaceDN/>
              <w:rPr>
                <w:rFonts w:ascii="Aptos Narrow" w:hAnsi="Aptos Narrow"/>
                <w:color w:val="000000"/>
                <w:lang w:val="en-IN" w:eastAsia="en-IN"/>
              </w:rPr>
            </w:pPr>
          </w:p>
        </w:tc>
        <w:tc>
          <w:tcPr>
            <w:tcW w:w="0" w:type="auto"/>
            <w:tcBorders>
              <w:top w:val="single" w:sz="4" w:space="0" w:color="auto"/>
              <w:left w:val="nil"/>
              <w:bottom w:val="nil"/>
              <w:right w:val="nil"/>
            </w:tcBorders>
            <w:shd w:val="clear" w:color="auto" w:fill="auto"/>
            <w:noWrap/>
            <w:vAlign w:val="bottom"/>
            <w:hideMark/>
          </w:tcPr>
          <w:p w14:paraId="133DCB6F" w14:textId="77777777" w:rsidR="005C2297" w:rsidRPr="005C2297" w:rsidRDefault="005C2297" w:rsidP="005C2297">
            <w:pPr>
              <w:widowControl/>
              <w:autoSpaceDE/>
              <w:autoSpaceDN/>
              <w:rPr>
                <w:sz w:val="20"/>
                <w:szCs w:val="20"/>
                <w:lang w:val="en-IN" w:eastAsia="en-IN"/>
              </w:rPr>
            </w:pPr>
          </w:p>
        </w:tc>
        <w:tc>
          <w:tcPr>
            <w:tcW w:w="0" w:type="auto"/>
            <w:tcBorders>
              <w:left w:val="nil"/>
              <w:bottom w:val="nil"/>
              <w:right w:val="nil"/>
            </w:tcBorders>
            <w:shd w:val="clear" w:color="auto" w:fill="auto"/>
            <w:noWrap/>
            <w:vAlign w:val="bottom"/>
            <w:hideMark/>
          </w:tcPr>
          <w:p w14:paraId="44B20F1B" w14:textId="77777777" w:rsidR="005C2297" w:rsidRPr="005C2297" w:rsidRDefault="005C2297" w:rsidP="005C2297">
            <w:pPr>
              <w:widowControl/>
              <w:autoSpaceDE/>
              <w:autoSpaceDN/>
              <w:rPr>
                <w:sz w:val="20"/>
                <w:szCs w:val="20"/>
                <w:lang w:val="en-IN" w:eastAsia="en-IN"/>
              </w:rPr>
            </w:pPr>
          </w:p>
        </w:tc>
        <w:tc>
          <w:tcPr>
            <w:tcW w:w="0" w:type="auto"/>
            <w:tcBorders>
              <w:top w:val="single" w:sz="4" w:space="0" w:color="auto"/>
              <w:left w:val="nil"/>
              <w:bottom w:val="nil"/>
              <w:right w:val="nil"/>
            </w:tcBorders>
            <w:shd w:val="clear" w:color="auto" w:fill="auto"/>
            <w:noWrap/>
            <w:vAlign w:val="bottom"/>
            <w:hideMark/>
          </w:tcPr>
          <w:p w14:paraId="7DFA57F8" w14:textId="77777777" w:rsidR="005C2297" w:rsidRPr="005C2297" w:rsidRDefault="005C2297" w:rsidP="005C2297">
            <w:pPr>
              <w:widowControl/>
              <w:autoSpaceDE/>
              <w:autoSpaceDN/>
              <w:rPr>
                <w:sz w:val="20"/>
                <w:szCs w:val="20"/>
                <w:lang w:val="en-IN" w:eastAsia="en-IN"/>
              </w:rPr>
            </w:pPr>
          </w:p>
        </w:tc>
        <w:tc>
          <w:tcPr>
            <w:tcW w:w="0" w:type="auto"/>
            <w:tcBorders>
              <w:top w:val="single" w:sz="4" w:space="0" w:color="auto"/>
              <w:left w:val="nil"/>
              <w:bottom w:val="nil"/>
              <w:right w:val="nil"/>
            </w:tcBorders>
            <w:shd w:val="clear" w:color="auto" w:fill="auto"/>
            <w:noWrap/>
            <w:vAlign w:val="bottom"/>
            <w:hideMark/>
          </w:tcPr>
          <w:p w14:paraId="080DCB25" w14:textId="77777777" w:rsidR="005C2297" w:rsidRPr="005C2297" w:rsidRDefault="005C2297" w:rsidP="005C2297">
            <w:pPr>
              <w:widowControl/>
              <w:autoSpaceDE/>
              <w:autoSpaceDN/>
              <w:rPr>
                <w:sz w:val="20"/>
                <w:szCs w:val="20"/>
                <w:lang w:val="en-IN" w:eastAsia="en-IN"/>
              </w:rPr>
            </w:pPr>
          </w:p>
        </w:tc>
      </w:tr>
      <w:tr w:rsidR="005C2297" w:rsidRPr="005C2297" w14:paraId="1FF5AA74" w14:textId="77777777" w:rsidTr="005C2297">
        <w:trPr>
          <w:trHeight w:val="290"/>
        </w:trPr>
        <w:tc>
          <w:tcPr>
            <w:tcW w:w="0" w:type="auto"/>
            <w:tcBorders>
              <w:top w:val="nil"/>
              <w:left w:val="nil"/>
              <w:bottom w:val="nil"/>
              <w:right w:val="nil"/>
            </w:tcBorders>
            <w:shd w:val="clear" w:color="auto" w:fill="auto"/>
            <w:noWrap/>
            <w:vAlign w:val="bottom"/>
            <w:hideMark/>
          </w:tcPr>
          <w:p w14:paraId="1C78B4E4" w14:textId="77777777" w:rsidR="005C2297" w:rsidRPr="005C2297" w:rsidRDefault="005C2297" w:rsidP="005C2297">
            <w:pPr>
              <w:widowControl/>
              <w:autoSpaceDE/>
              <w:autoSpaceDN/>
              <w:rPr>
                <w:rFonts w:ascii="Aptos Narrow" w:hAnsi="Aptos Narrow"/>
                <w:color w:val="000000"/>
                <w:lang w:val="en-IN" w:eastAsia="en-IN"/>
              </w:rPr>
            </w:pPr>
            <w:r w:rsidRPr="005C2297">
              <w:rPr>
                <w:rFonts w:ascii="Aptos Narrow" w:hAnsi="Aptos Narrow"/>
                <w:color w:val="000000"/>
                <w:lang w:val="en-IN" w:eastAsia="en-IN"/>
              </w:rPr>
              <w:t>1 day</w:t>
            </w:r>
          </w:p>
        </w:tc>
        <w:tc>
          <w:tcPr>
            <w:tcW w:w="0" w:type="auto"/>
            <w:tcBorders>
              <w:top w:val="nil"/>
              <w:left w:val="nil"/>
              <w:bottom w:val="nil"/>
              <w:right w:val="nil"/>
            </w:tcBorders>
            <w:shd w:val="clear" w:color="auto" w:fill="auto"/>
            <w:noWrap/>
            <w:vAlign w:val="bottom"/>
            <w:hideMark/>
          </w:tcPr>
          <w:p w14:paraId="5DC04FCA"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2%</w:t>
            </w:r>
          </w:p>
        </w:tc>
        <w:tc>
          <w:tcPr>
            <w:tcW w:w="0" w:type="auto"/>
            <w:tcBorders>
              <w:top w:val="nil"/>
              <w:left w:val="nil"/>
              <w:bottom w:val="nil"/>
              <w:right w:val="nil"/>
            </w:tcBorders>
            <w:shd w:val="clear" w:color="auto" w:fill="auto"/>
            <w:noWrap/>
            <w:vAlign w:val="bottom"/>
            <w:hideMark/>
          </w:tcPr>
          <w:p w14:paraId="35C1E4BB" w14:textId="53F173BC"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0.03</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c>
          <w:tcPr>
            <w:tcW w:w="0" w:type="auto"/>
            <w:tcBorders>
              <w:top w:val="nil"/>
              <w:left w:val="nil"/>
              <w:bottom w:val="nil"/>
              <w:right w:val="nil"/>
            </w:tcBorders>
            <w:shd w:val="clear" w:color="auto" w:fill="auto"/>
            <w:noWrap/>
            <w:vAlign w:val="bottom"/>
            <w:hideMark/>
          </w:tcPr>
          <w:p w14:paraId="6A70A66F" w14:textId="77777777" w:rsidR="005C2297" w:rsidRPr="005C2297" w:rsidRDefault="005C2297" w:rsidP="005C2297">
            <w:pPr>
              <w:widowControl/>
              <w:autoSpaceDE/>
              <w:autoSpaceDN/>
              <w:jc w:val="right"/>
              <w:rPr>
                <w:rFonts w:ascii="Aptos Narrow" w:hAnsi="Aptos Narrow"/>
                <w:color w:val="000000"/>
                <w:lang w:val="en-IN" w:eastAsia="en-IN"/>
              </w:rPr>
            </w:pPr>
          </w:p>
        </w:tc>
        <w:tc>
          <w:tcPr>
            <w:tcW w:w="0" w:type="auto"/>
            <w:tcBorders>
              <w:top w:val="nil"/>
              <w:left w:val="nil"/>
              <w:bottom w:val="nil"/>
              <w:right w:val="nil"/>
            </w:tcBorders>
            <w:shd w:val="clear" w:color="auto" w:fill="auto"/>
            <w:noWrap/>
            <w:vAlign w:val="bottom"/>
            <w:hideMark/>
          </w:tcPr>
          <w:p w14:paraId="7EADDB9E"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3%</w:t>
            </w:r>
          </w:p>
        </w:tc>
        <w:tc>
          <w:tcPr>
            <w:tcW w:w="0" w:type="auto"/>
            <w:tcBorders>
              <w:top w:val="nil"/>
              <w:left w:val="nil"/>
              <w:bottom w:val="nil"/>
              <w:right w:val="nil"/>
            </w:tcBorders>
            <w:shd w:val="clear" w:color="auto" w:fill="auto"/>
            <w:noWrap/>
            <w:vAlign w:val="bottom"/>
            <w:hideMark/>
          </w:tcPr>
          <w:p w14:paraId="6ECF40CB" w14:textId="21AC0613"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0.06</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r>
      <w:tr w:rsidR="005C2297" w:rsidRPr="005C2297" w14:paraId="4B828308" w14:textId="77777777" w:rsidTr="005C2297">
        <w:trPr>
          <w:trHeight w:val="290"/>
        </w:trPr>
        <w:tc>
          <w:tcPr>
            <w:tcW w:w="0" w:type="auto"/>
            <w:tcBorders>
              <w:top w:val="nil"/>
              <w:left w:val="nil"/>
              <w:bottom w:val="nil"/>
              <w:right w:val="nil"/>
            </w:tcBorders>
            <w:shd w:val="clear" w:color="auto" w:fill="auto"/>
            <w:noWrap/>
            <w:vAlign w:val="bottom"/>
            <w:hideMark/>
          </w:tcPr>
          <w:p w14:paraId="2E98DD9D" w14:textId="77777777" w:rsidR="005C2297" w:rsidRPr="005C2297" w:rsidRDefault="005C2297" w:rsidP="005C2297">
            <w:pPr>
              <w:widowControl/>
              <w:autoSpaceDE/>
              <w:autoSpaceDN/>
              <w:rPr>
                <w:rFonts w:ascii="Aptos Narrow" w:hAnsi="Aptos Narrow"/>
                <w:color w:val="000000"/>
                <w:lang w:val="en-IN" w:eastAsia="en-IN"/>
              </w:rPr>
            </w:pPr>
            <w:r w:rsidRPr="005C2297">
              <w:rPr>
                <w:rFonts w:ascii="Aptos Narrow" w:hAnsi="Aptos Narrow"/>
                <w:color w:val="000000"/>
                <w:lang w:val="en-IN" w:eastAsia="en-IN"/>
              </w:rPr>
              <w:t>1 week</w:t>
            </w:r>
          </w:p>
        </w:tc>
        <w:tc>
          <w:tcPr>
            <w:tcW w:w="0" w:type="auto"/>
            <w:tcBorders>
              <w:top w:val="nil"/>
              <w:left w:val="nil"/>
              <w:bottom w:val="nil"/>
              <w:right w:val="nil"/>
            </w:tcBorders>
            <w:shd w:val="clear" w:color="auto" w:fill="auto"/>
            <w:noWrap/>
            <w:vAlign w:val="bottom"/>
            <w:hideMark/>
          </w:tcPr>
          <w:p w14:paraId="397A8FBA"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3%</w:t>
            </w:r>
          </w:p>
        </w:tc>
        <w:tc>
          <w:tcPr>
            <w:tcW w:w="0" w:type="auto"/>
            <w:tcBorders>
              <w:top w:val="nil"/>
              <w:left w:val="nil"/>
              <w:bottom w:val="nil"/>
              <w:right w:val="nil"/>
            </w:tcBorders>
            <w:shd w:val="clear" w:color="auto" w:fill="auto"/>
            <w:noWrap/>
            <w:vAlign w:val="bottom"/>
            <w:hideMark/>
          </w:tcPr>
          <w:p w14:paraId="2DE8952F" w14:textId="34606D00"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0.05</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c>
          <w:tcPr>
            <w:tcW w:w="0" w:type="auto"/>
            <w:tcBorders>
              <w:top w:val="nil"/>
              <w:left w:val="nil"/>
              <w:bottom w:val="nil"/>
              <w:right w:val="nil"/>
            </w:tcBorders>
            <w:shd w:val="clear" w:color="auto" w:fill="auto"/>
            <w:noWrap/>
            <w:vAlign w:val="bottom"/>
            <w:hideMark/>
          </w:tcPr>
          <w:p w14:paraId="4EAFF1E8" w14:textId="77777777" w:rsidR="005C2297" w:rsidRPr="005C2297" w:rsidRDefault="005C2297" w:rsidP="005C2297">
            <w:pPr>
              <w:widowControl/>
              <w:autoSpaceDE/>
              <w:autoSpaceDN/>
              <w:jc w:val="right"/>
              <w:rPr>
                <w:rFonts w:ascii="Aptos Narrow" w:hAnsi="Aptos Narrow"/>
                <w:color w:val="000000"/>
                <w:lang w:val="en-IN" w:eastAsia="en-IN"/>
              </w:rPr>
            </w:pPr>
          </w:p>
        </w:tc>
        <w:tc>
          <w:tcPr>
            <w:tcW w:w="0" w:type="auto"/>
            <w:tcBorders>
              <w:top w:val="nil"/>
              <w:left w:val="nil"/>
              <w:bottom w:val="nil"/>
              <w:right w:val="nil"/>
            </w:tcBorders>
            <w:shd w:val="clear" w:color="auto" w:fill="auto"/>
            <w:noWrap/>
            <w:vAlign w:val="bottom"/>
            <w:hideMark/>
          </w:tcPr>
          <w:p w14:paraId="4EE03636"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4%</w:t>
            </w:r>
          </w:p>
        </w:tc>
        <w:tc>
          <w:tcPr>
            <w:tcW w:w="0" w:type="auto"/>
            <w:tcBorders>
              <w:top w:val="nil"/>
              <w:left w:val="nil"/>
              <w:bottom w:val="nil"/>
              <w:right w:val="nil"/>
            </w:tcBorders>
            <w:shd w:val="clear" w:color="auto" w:fill="auto"/>
            <w:noWrap/>
            <w:vAlign w:val="bottom"/>
            <w:hideMark/>
          </w:tcPr>
          <w:p w14:paraId="0A8C82CC" w14:textId="2E630F39"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0.07</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r>
      <w:tr w:rsidR="005C2297" w:rsidRPr="005C2297" w14:paraId="1ED50140" w14:textId="77777777" w:rsidTr="006611D5">
        <w:trPr>
          <w:trHeight w:val="290"/>
        </w:trPr>
        <w:tc>
          <w:tcPr>
            <w:tcW w:w="0" w:type="auto"/>
            <w:tcBorders>
              <w:top w:val="nil"/>
              <w:left w:val="nil"/>
              <w:right w:val="nil"/>
            </w:tcBorders>
            <w:shd w:val="clear" w:color="auto" w:fill="auto"/>
            <w:noWrap/>
            <w:vAlign w:val="bottom"/>
            <w:hideMark/>
          </w:tcPr>
          <w:p w14:paraId="68E9A936" w14:textId="7838E29B" w:rsidR="005C2297" w:rsidRPr="005C2297" w:rsidRDefault="005C2297" w:rsidP="005C2297">
            <w:pPr>
              <w:widowControl/>
              <w:autoSpaceDE/>
              <w:autoSpaceDN/>
              <w:rPr>
                <w:rFonts w:ascii="Aptos Narrow" w:hAnsi="Aptos Narrow"/>
                <w:color w:val="000000"/>
                <w:lang w:val="en-IN" w:eastAsia="en-IN"/>
              </w:rPr>
            </w:pPr>
            <w:r w:rsidRPr="005C2297">
              <w:rPr>
                <w:rFonts w:ascii="Aptos Narrow" w:hAnsi="Aptos Narrow"/>
                <w:color w:val="000000"/>
                <w:lang w:val="en-IN" w:eastAsia="en-IN"/>
              </w:rPr>
              <w:t xml:space="preserve">2 </w:t>
            </w:r>
            <w:r w:rsidR="006611D5" w:rsidRPr="005C2297">
              <w:rPr>
                <w:rFonts w:ascii="Aptos Narrow" w:hAnsi="Aptos Narrow"/>
                <w:color w:val="000000"/>
                <w:lang w:val="en-IN" w:eastAsia="en-IN"/>
              </w:rPr>
              <w:t>weeks</w:t>
            </w:r>
          </w:p>
        </w:tc>
        <w:tc>
          <w:tcPr>
            <w:tcW w:w="0" w:type="auto"/>
            <w:tcBorders>
              <w:top w:val="nil"/>
              <w:left w:val="nil"/>
              <w:right w:val="nil"/>
            </w:tcBorders>
            <w:shd w:val="clear" w:color="auto" w:fill="auto"/>
            <w:noWrap/>
            <w:vAlign w:val="bottom"/>
            <w:hideMark/>
          </w:tcPr>
          <w:p w14:paraId="670D7E9E"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16%</w:t>
            </w:r>
          </w:p>
        </w:tc>
        <w:tc>
          <w:tcPr>
            <w:tcW w:w="0" w:type="auto"/>
            <w:tcBorders>
              <w:top w:val="nil"/>
              <w:left w:val="nil"/>
              <w:right w:val="nil"/>
            </w:tcBorders>
            <w:shd w:val="clear" w:color="auto" w:fill="auto"/>
            <w:noWrap/>
            <w:vAlign w:val="bottom"/>
            <w:hideMark/>
          </w:tcPr>
          <w:p w14:paraId="0BBF52DC" w14:textId="79118139"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0.28</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c>
          <w:tcPr>
            <w:tcW w:w="0" w:type="auto"/>
            <w:tcBorders>
              <w:top w:val="nil"/>
              <w:left w:val="nil"/>
              <w:right w:val="nil"/>
            </w:tcBorders>
            <w:shd w:val="clear" w:color="auto" w:fill="auto"/>
            <w:noWrap/>
            <w:vAlign w:val="bottom"/>
            <w:hideMark/>
          </w:tcPr>
          <w:p w14:paraId="45DA8522" w14:textId="77777777" w:rsidR="005C2297" w:rsidRPr="005C2297" w:rsidRDefault="005C2297" w:rsidP="005C2297">
            <w:pPr>
              <w:widowControl/>
              <w:autoSpaceDE/>
              <w:autoSpaceDN/>
              <w:jc w:val="right"/>
              <w:rPr>
                <w:rFonts w:ascii="Aptos Narrow" w:hAnsi="Aptos Narrow"/>
                <w:color w:val="000000"/>
                <w:lang w:val="en-IN" w:eastAsia="en-IN"/>
              </w:rPr>
            </w:pPr>
          </w:p>
        </w:tc>
        <w:tc>
          <w:tcPr>
            <w:tcW w:w="0" w:type="auto"/>
            <w:tcBorders>
              <w:top w:val="nil"/>
              <w:left w:val="nil"/>
              <w:right w:val="nil"/>
            </w:tcBorders>
            <w:shd w:val="clear" w:color="auto" w:fill="auto"/>
            <w:noWrap/>
            <w:vAlign w:val="bottom"/>
            <w:hideMark/>
          </w:tcPr>
          <w:p w14:paraId="6B324091"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24%</w:t>
            </w:r>
          </w:p>
        </w:tc>
        <w:tc>
          <w:tcPr>
            <w:tcW w:w="0" w:type="auto"/>
            <w:tcBorders>
              <w:top w:val="nil"/>
              <w:left w:val="nil"/>
              <w:right w:val="nil"/>
            </w:tcBorders>
            <w:shd w:val="clear" w:color="auto" w:fill="auto"/>
            <w:noWrap/>
            <w:vAlign w:val="bottom"/>
            <w:hideMark/>
          </w:tcPr>
          <w:p w14:paraId="01E3E501" w14:textId="5C261836"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0.42</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r>
      <w:tr w:rsidR="005C2297" w:rsidRPr="005C2297" w14:paraId="485A805D" w14:textId="77777777" w:rsidTr="006611D5">
        <w:trPr>
          <w:trHeight w:val="290"/>
        </w:trPr>
        <w:tc>
          <w:tcPr>
            <w:tcW w:w="0" w:type="auto"/>
            <w:tcBorders>
              <w:top w:val="nil"/>
              <w:left w:val="nil"/>
              <w:bottom w:val="single" w:sz="4" w:space="0" w:color="auto"/>
              <w:right w:val="nil"/>
            </w:tcBorders>
            <w:shd w:val="clear" w:color="auto" w:fill="auto"/>
            <w:noWrap/>
            <w:vAlign w:val="bottom"/>
            <w:hideMark/>
          </w:tcPr>
          <w:p w14:paraId="6C9DBC55" w14:textId="1BD05B12" w:rsidR="005C2297" w:rsidRPr="005C2297" w:rsidRDefault="005C2297" w:rsidP="005C2297">
            <w:pPr>
              <w:widowControl/>
              <w:autoSpaceDE/>
              <w:autoSpaceDN/>
              <w:rPr>
                <w:rFonts w:ascii="Aptos Narrow" w:hAnsi="Aptos Narrow"/>
                <w:color w:val="000000"/>
                <w:lang w:val="en-IN" w:eastAsia="en-IN"/>
              </w:rPr>
            </w:pPr>
            <w:r w:rsidRPr="005C2297">
              <w:rPr>
                <w:rFonts w:ascii="Aptos Narrow" w:hAnsi="Aptos Narrow"/>
                <w:color w:val="000000"/>
                <w:lang w:val="en-IN" w:eastAsia="en-IN"/>
              </w:rPr>
              <w:t xml:space="preserve">3 </w:t>
            </w:r>
            <w:r w:rsidR="006611D5" w:rsidRPr="005C2297">
              <w:rPr>
                <w:rFonts w:ascii="Aptos Narrow" w:hAnsi="Aptos Narrow"/>
                <w:color w:val="000000"/>
                <w:lang w:val="en-IN" w:eastAsia="en-IN"/>
              </w:rPr>
              <w:t>weeks</w:t>
            </w:r>
          </w:p>
        </w:tc>
        <w:tc>
          <w:tcPr>
            <w:tcW w:w="0" w:type="auto"/>
            <w:tcBorders>
              <w:top w:val="nil"/>
              <w:left w:val="nil"/>
              <w:bottom w:val="single" w:sz="4" w:space="0" w:color="auto"/>
              <w:right w:val="nil"/>
            </w:tcBorders>
            <w:shd w:val="clear" w:color="auto" w:fill="auto"/>
            <w:noWrap/>
            <w:vAlign w:val="bottom"/>
            <w:hideMark/>
          </w:tcPr>
          <w:p w14:paraId="7A4EEFAD"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17%</w:t>
            </w:r>
          </w:p>
        </w:tc>
        <w:tc>
          <w:tcPr>
            <w:tcW w:w="0" w:type="auto"/>
            <w:tcBorders>
              <w:top w:val="nil"/>
              <w:left w:val="nil"/>
              <w:bottom w:val="single" w:sz="4" w:space="0" w:color="auto"/>
              <w:right w:val="nil"/>
            </w:tcBorders>
            <w:shd w:val="clear" w:color="auto" w:fill="auto"/>
            <w:noWrap/>
            <w:vAlign w:val="bottom"/>
            <w:hideMark/>
          </w:tcPr>
          <w:p w14:paraId="414DC824" w14:textId="5F6B9C8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0.29</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c>
          <w:tcPr>
            <w:tcW w:w="0" w:type="auto"/>
            <w:tcBorders>
              <w:top w:val="nil"/>
              <w:left w:val="nil"/>
              <w:bottom w:val="single" w:sz="4" w:space="0" w:color="auto"/>
              <w:right w:val="nil"/>
            </w:tcBorders>
            <w:shd w:val="clear" w:color="auto" w:fill="auto"/>
            <w:noWrap/>
            <w:vAlign w:val="bottom"/>
            <w:hideMark/>
          </w:tcPr>
          <w:p w14:paraId="6003F680" w14:textId="77777777" w:rsidR="005C2297" w:rsidRPr="005C2297" w:rsidRDefault="005C2297" w:rsidP="005C2297">
            <w:pPr>
              <w:widowControl/>
              <w:autoSpaceDE/>
              <w:autoSpaceDN/>
              <w:jc w:val="right"/>
              <w:rPr>
                <w:rFonts w:ascii="Aptos Narrow" w:hAnsi="Aptos Narrow"/>
                <w:color w:val="000000"/>
                <w:lang w:val="en-IN" w:eastAsia="en-IN"/>
              </w:rPr>
            </w:pPr>
          </w:p>
        </w:tc>
        <w:tc>
          <w:tcPr>
            <w:tcW w:w="0" w:type="auto"/>
            <w:tcBorders>
              <w:top w:val="nil"/>
              <w:left w:val="nil"/>
              <w:bottom w:val="single" w:sz="4" w:space="0" w:color="auto"/>
              <w:right w:val="nil"/>
            </w:tcBorders>
            <w:shd w:val="clear" w:color="auto" w:fill="auto"/>
            <w:noWrap/>
            <w:vAlign w:val="bottom"/>
            <w:hideMark/>
          </w:tcPr>
          <w:p w14:paraId="13147C25" w14:textId="77777777"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25%</w:t>
            </w:r>
          </w:p>
        </w:tc>
        <w:tc>
          <w:tcPr>
            <w:tcW w:w="0" w:type="auto"/>
            <w:tcBorders>
              <w:top w:val="nil"/>
              <w:left w:val="nil"/>
              <w:bottom w:val="single" w:sz="4" w:space="0" w:color="auto"/>
              <w:right w:val="nil"/>
            </w:tcBorders>
            <w:shd w:val="clear" w:color="auto" w:fill="auto"/>
            <w:noWrap/>
            <w:vAlign w:val="bottom"/>
            <w:hideMark/>
          </w:tcPr>
          <w:p w14:paraId="13EB63A6" w14:textId="73FD672D" w:rsidR="005C2297" w:rsidRPr="005C2297" w:rsidRDefault="005C2297" w:rsidP="005C2297">
            <w:pPr>
              <w:widowControl/>
              <w:autoSpaceDE/>
              <w:autoSpaceDN/>
              <w:jc w:val="right"/>
              <w:rPr>
                <w:rFonts w:ascii="Aptos Narrow" w:hAnsi="Aptos Narrow"/>
                <w:color w:val="000000"/>
                <w:lang w:val="en-IN" w:eastAsia="en-IN"/>
              </w:rPr>
            </w:pPr>
            <w:r w:rsidRPr="005C2297">
              <w:rPr>
                <w:rFonts w:ascii="Aptos Narrow" w:hAnsi="Aptos Narrow"/>
                <w:color w:val="000000"/>
                <w:lang w:val="en-IN" w:eastAsia="en-IN"/>
              </w:rPr>
              <w:t>0.43</w:t>
            </w:r>
            <w:r w:rsidR="006611D5">
              <w:rPr>
                <w:rFonts w:ascii="Aptos Narrow" w:hAnsi="Aptos Narrow"/>
                <w:color w:val="000000"/>
                <w:lang w:val="en-IN" w:eastAsia="en-IN"/>
              </w:rPr>
              <w:t xml:space="preserve"> </w:t>
            </w:r>
            <m:oMath>
              <m:r>
                <w:rPr>
                  <w:rFonts w:ascii="Cambria Math" w:hAnsi="Cambria Math"/>
                  <w:color w:val="000000"/>
                  <w:lang w:val="en-IN" w:eastAsia="en-IN"/>
                </w:rPr>
                <m:t>σ</m:t>
              </m:r>
            </m:oMath>
          </w:p>
        </w:tc>
      </w:tr>
    </w:tbl>
    <w:p w14:paraId="44292A3E" w14:textId="77777777" w:rsidR="00443508" w:rsidRDefault="00443508" w:rsidP="004F3376">
      <w:pPr>
        <w:spacing w:line="276" w:lineRule="auto"/>
        <w:rPr>
          <w:sz w:val="24"/>
          <w:szCs w:val="24"/>
        </w:rPr>
      </w:pPr>
    </w:p>
    <w:p w14:paraId="77790A7C" w14:textId="28D916B3" w:rsidR="00F35F5D" w:rsidRDefault="00BF7C73" w:rsidP="00BF7C73">
      <w:pPr>
        <w:pStyle w:val="BodyText"/>
        <w:spacing w:before="248" w:after="240" w:line="276" w:lineRule="auto"/>
        <w:ind w:left="380" w:right="581"/>
      </w:pPr>
      <w:r>
        <w:t>We have also explored potential heterogeneity in these effects by judge type (which accounts for both the impact of seniority and of the types of cases), and the case level covariates – disposition, hearing purpose – described above. There is no statistically significant variation over these different dimensions. An important implication here is that seniority does not appear to provide any protection against the impact of air pollution. Neither does the type of case – civil or criminal – appear to matter, in contrast to Sa</w:t>
      </w:r>
      <w:r w:rsidRPr="00BF7C73">
        <w:t>rmiento</w:t>
      </w:r>
      <w:r w:rsidRPr="00BF7C73">
        <w:t xml:space="preserve"> and</w:t>
      </w:r>
      <w:r w:rsidRPr="00BF7C73">
        <w:t xml:space="preserve"> Nowakowski (2023)</w:t>
      </w:r>
      <w:r w:rsidRPr="00BF7C73">
        <w:t>.</w:t>
      </w:r>
    </w:p>
    <w:p w14:paraId="7218F7DD" w14:textId="1B599C34" w:rsidR="00490FD7" w:rsidRDefault="00386950">
      <w:pPr>
        <w:pStyle w:val="Heading3"/>
      </w:pPr>
      <w:r>
        <w:t>Section VI: Conclusion</w:t>
      </w:r>
    </w:p>
    <w:p w14:paraId="42E9D956" w14:textId="77777777" w:rsidR="00490FD7" w:rsidRDefault="00E46432">
      <w:pPr>
        <w:pStyle w:val="BodyText"/>
        <w:spacing w:before="6"/>
        <w:rPr>
          <w:b/>
          <w:sz w:val="17"/>
        </w:rPr>
      </w:pPr>
      <w:r>
        <w:rPr>
          <w:noProof/>
        </w:rPr>
        <mc:AlternateContent>
          <mc:Choice Requires="wps">
            <w:drawing>
              <wp:anchor distT="0" distB="0" distL="0" distR="0" simplePos="0" relativeHeight="487617536" behindDoc="1" locked="0" layoutInCell="1" allowOverlap="1" wp14:anchorId="2C35E5F7" wp14:editId="2AC404FB">
                <wp:simplePos x="0" y="0"/>
                <wp:positionH relativeFrom="page">
                  <wp:posOffset>1066800</wp:posOffset>
                </wp:positionH>
                <wp:positionV relativeFrom="paragraph">
                  <wp:posOffset>143578</wp:posOffset>
                </wp:positionV>
                <wp:extent cx="5753100" cy="1270"/>
                <wp:effectExtent l="0" t="0" r="0" b="0"/>
                <wp:wrapTopAndBottom/>
                <wp:docPr id="67" name="Graphic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3100" cy="1270"/>
                        </a:xfrm>
                        <a:custGeom>
                          <a:avLst/>
                          <a:gdLst/>
                          <a:ahLst/>
                          <a:cxnLst/>
                          <a:rect l="l" t="t" r="r" b="b"/>
                          <a:pathLst>
                            <a:path w="5753100">
                              <a:moveTo>
                                <a:pt x="0" y="0"/>
                              </a:moveTo>
                              <a:lnTo>
                                <a:pt x="5753100" y="0"/>
                              </a:lnTo>
                            </a:path>
                          </a:pathLst>
                        </a:custGeom>
                        <a:ln w="12700">
                          <a:solidFill>
                            <a:srgbClr val="878787"/>
                          </a:solidFill>
                          <a:prstDash val="solid"/>
                        </a:ln>
                      </wps:spPr>
                      <wps:bodyPr wrap="square" lIns="0" tIns="0" rIns="0" bIns="0" rtlCol="0">
                        <a:prstTxWarp prst="textNoShape">
                          <a:avLst/>
                        </a:prstTxWarp>
                        <a:noAutofit/>
                      </wps:bodyPr>
                    </wps:wsp>
                  </a:graphicData>
                </a:graphic>
              </wp:anchor>
            </w:drawing>
          </mc:Choice>
          <mc:Fallback>
            <w:pict>
              <v:shape w14:anchorId="10C384FD" id="Graphic 67" o:spid="_x0000_s1026" style="position:absolute;margin-left:84pt;margin-top:11.3pt;width:453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57531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" path="m,l5753100,e" filled="f" strokecolor="#878787" strokeweight="1pt">
                <v:path arrowok="t"/>
                <w10:wrap type="topAndBottom" anchorx="page"/>
              </v:shape>
            </w:pict>
          </mc:Fallback>
        </mc:AlternateContent>
      </w:r>
    </w:p>
    <w:p w14:paraId="30D71006" w14:textId="77777777" w:rsidR="00F35F5D" w:rsidRPr="00F35F5D" w:rsidRDefault="00F35F5D" w:rsidP="00F35F5D">
      <w:pPr>
        <w:pStyle w:val="BodyText"/>
        <w:spacing w:before="248" w:line="276" w:lineRule="auto"/>
        <w:ind w:left="380" w:right="581"/>
      </w:pPr>
      <w:r w:rsidRPr="00F35F5D">
        <w:t xml:space="preserve">This study demonstrates that air pollution significantly impairs the productivity of </w:t>
      </w:r>
      <w:proofErr w:type="gramStart"/>
      <w:r w:rsidRPr="00F35F5D">
        <w:t>high-skilled</w:t>
      </w:r>
      <w:proofErr w:type="gramEnd"/>
      <w:r w:rsidRPr="00F35F5D">
        <w:t xml:space="preserve"> knowledge workers, with important implications for institutional quality and economic growth. By examining Delhi's district court system—where highly trained judges operate under extreme caseload pressure and severe air pollution—we reveal several key insights about environmental impacts on cognitive performance.</w:t>
      </w:r>
    </w:p>
    <w:p w14:paraId="458E87ED" w14:textId="77777777" w:rsidR="00F35F5D" w:rsidRPr="00F35F5D" w:rsidRDefault="00F35F5D" w:rsidP="00F35F5D">
      <w:pPr>
        <w:pStyle w:val="BodyText"/>
        <w:spacing w:before="248" w:line="276" w:lineRule="auto"/>
        <w:ind w:left="380" w:right="581"/>
      </w:pPr>
      <w:r w:rsidRPr="00F35F5D">
        <w:t>First, our findings establish that the relationship between air pollution and high-skilled productivity is cumulative rather than merely contemporaneous. The substantial increase in the magnitude of effects as the exposure window extends—with three weeks of poor air quality reducing judicial efficiency seven times more than a single day's exposure—reveals that cognitive impairment in knowledge workers compounds over time. This cumulative effect has profound implications for pollution mitigation strategies, suggesting that episodic interventions targeting only peak pollution days will be insufficient to preserve high-skilled labor productivity.</w:t>
      </w:r>
    </w:p>
    <w:p w14:paraId="08016F76" w14:textId="77777777" w:rsidR="00F35F5D" w:rsidRPr="00F35F5D" w:rsidRDefault="00F35F5D" w:rsidP="00F35F5D">
      <w:pPr>
        <w:pStyle w:val="BodyText"/>
        <w:spacing w:before="248" w:line="276" w:lineRule="auto"/>
        <w:ind w:left="380" w:right="581"/>
      </w:pPr>
      <w:r w:rsidRPr="00F35F5D">
        <w:t xml:space="preserve">Second, the magnitude of our findings—a potential 25% reduction in case durations if WHO air </w:t>
      </w:r>
      <w:r w:rsidRPr="00F35F5D">
        <w:lastRenderedPageBreak/>
        <w:t>quality standards were met—underscores how environmental conditions can constrain institutional performance even when human capital investments are substantial. Despite judges' extensive training and expertise, their cognitive performance remains vulnerable to environmental degradation, with direct consequences for the efficiency of the judicial system.</w:t>
      </w:r>
    </w:p>
    <w:p w14:paraId="3A1DA59C" w14:textId="77777777" w:rsidR="00F35F5D" w:rsidRPr="00F35F5D" w:rsidRDefault="00F35F5D" w:rsidP="00F35F5D">
      <w:pPr>
        <w:pStyle w:val="BodyText"/>
        <w:spacing w:before="248" w:line="276" w:lineRule="auto"/>
        <w:ind w:left="380" w:right="581"/>
      </w:pPr>
      <w:r w:rsidRPr="00F35F5D">
        <w:t xml:space="preserve">Third, our research challenges the presumed trade-off between environmental protection and economic development. By demonstrating that pollution directly impairs the productivity of high-skilled labor, we suggest that environmental protection can </w:t>
      </w:r>
      <w:proofErr w:type="gramStart"/>
      <w:r w:rsidRPr="00F35F5D">
        <w:t>actually enhance</w:t>
      </w:r>
      <w:proofErr w:type="gramEnd"/>
      <w:r w:rsidRPr="00F35F5D">
        <w:t xml:space="preserve"> institutional quality and support economic growth through its positive effects on cognitive performance in knowledge-intensive sectors.</w:t>
      </w:r>
    </w:p>
    <w:p w14:paraId="1E671DCD" w14:textId="743C509C" w:rsidR="00F35F5D" w:rsidRPr="00F35F5D" w:rsidRDefault="00F35F5D" w:rsidP="00F35F5D">
      <w:pPr>
        <w:pStyle w:val="BodyText"/>
        <w:spacing w:before="248" w:line="276" w:lineRule="auto"/>
        <w:ind w:left="380" w:right="581"/>
      </w:pPr>
      <w:r w:rsidRPr="00F35F5D">
        <w:t xml:space="preserve">These findings have important policy implications. While private mitigation strategies such as mask-wearing or air purifiers may offer limited protection against acute exposure, they </w:t>
      </w:r>
      <w:r>
        <w:t>are unlikely</w:t>
      </w:r>
      <w:r w:rsidRPr="00F35F5D">
        <w:t xml:space="preserve"> </w:t>
      </w:r>
      <w:r w:rsidR="003A42ED" w:rsidRPr="00F35F5D">
        <w:t>to address</w:t>
      </w:r>
      <w:r w:rsidRPr="00F35F5D">
        <w:t xml:space="preserve"> the cumulative cognitive effects identified in our research. Systematic, long-term improvements in air quality through public policy interventions are necessary to preserve high-skilled labor productivity and, by extension, institutional quality.</w:t>
      </w:r>
    </w:p>
    <w:p w14:paraId="74EF09ED" w14:textId="77777777" w:rsidR="00F35F5D" w:rsidRPr="00F35F5D" w:rsidRDefault="00F35F5D" w:rsidP="00F35F5D">
      <w:pPr>
        <w:pStyle w:val="BodyText"/>
        <w:spacing w:before="248" w:line="276" w:lineRule="auto"/>
        <w:ind w:left="380" w:right="581"/>
      </w:pPr>
      <w:r w:rsidRPr="00F35F5D">
        <w:t>Our study also highlights important methodological considerations for future research. The substantial difference between our findings and previous studies examining the same setting demonstrates the critical importance of measurement frequency and exposure window specification when analyzing environmental impacts on productivity.</w:t>
      </w:r>
    </w:p>
    <w:p w14:paraId="115CBBBE" w14:textId="77777777" w:rsidR="00F35F5D" w:rsidRPr="00F35F5D" w:rsidRDefault="00F35F5D" w:rsidP="00F35F5D">
      <w:pPr>
        <w:pStyle w:val="BodyText"/>
        <w:spacing w:before="248" w:line="276" w:lineRule="auto"/>
        <w:ind w:left="380" w:right="581"/>
      </w:pPr>
      <w:r w:rsidRPr="00F35F5D">
        <w:t>Future research should explore whether similar cumulative effects exist in other high-skilled professions and institutional settings, and whether there are threshold effects or non-linearities in the relationship between pollution exposure and cognitive performance. Additionally, investigating potential adaptation mechanisms among high-skilled workers facing long-term pollution exposure would provide valuable insights for developing targeted interventions to protect cognitive performance in polluted environments.</w:t>
      </w:r>
    </w:p>
    <w:p w14:paraId="2D9B1834" w14:textId="77777777" w:rsidR="00F35F5D" w:rsidRPr="00F35F5D" w:rsidRDefault="00F35F5D" w:rsidP="00F35F5D">
      <w:pPr>
        <w:pStyle w:val="BodyText"/>
        <w:spacing w:before="248" w:line="276" w:lineRule="auto"/>
        <w:ind w:left="380" w:right="581"/>
      </w:pPr>
      <w:r w:rsidRPr="00F35F5D">
        <w:t>Ultimately, this research suggests that preserving institutional quality in developing economies requires not only investments in human capital and organizational systems but also environmental protection measures that safeguard the cognitive capacity of the high-skilled knowledge workers who operate these institutions.</w:t>
      </w:r>
    </w:p>
    <w:p w14:paraId="151A4316" w14:textId="77777777" w:rsidR="00490FD7" w:rsidRDefault="00E46432" w:rsidP="00E70EB6">
      <w:pPr>
        <w:pStyle w:val="Heading2"/>
      </w:pPr>
      <w:r>
        <w:t xml:space="preserve">REFERENCES AND </w:t>
      </w:r>
      <w:r>
        <w:rPr>
          <w:spacing w:val="-2"/>
        </w:rPr>
        <w:t>CITATIONS</w:t>
      </w:r>
    </w:p>
    <w:p w14:paraId="2B8C70FE" w14:textId="77777777" w:rsidR="00490FD7" w:rsidRDefault="00E46432" w:rsidP="00E70EB6">
      <w:pPr>
        <w:spacing w:before="253" w:line="276" w:lineRule="auto"/>
        <w:ind w:left="380" w:right="932"/>
      </w:pPr>
      <w:r>
        <w:t>Adhvaryu,</w:t>
      </w:r>
      <w:r>
        <w:rPr>
          <w:spacing w:val="-4"/>
        </w:rPr>
        <w:t xml:space="preserve"> </w:t>
      </w:r>
      <w:r>
        <w:t>A.,</w:t>
      </w:r>
      <w:r>
        <w:rPr>
          <w:spacing w:val="-4"/>
        </w:rPr>
        <w:t xml:space="preserve"> </w:t>
      </w:r>
      <w:r>
        <w:t>Kala,</w:t>
      </w:r>
      <w:r>
        <w:rPr>
          <w:spacing w:val="-4"/>
        </w:rPr>
        <w:t xml:space="preserve"> </w:t>
      </w:r>
      <w:r>
        <w:t>N.,</w:t>
      </w:r>
      <w:r>
        <w:rPr>
          <w:spacing w:val="-4"/>
        </w:rPr>
        <w:t xml:space="preserve"> </w:t>
      </w:r>
      <w:r>
        <w:t>&amp;</w:t>
      </w:r>
      <w:r>
        <w:rPr>
          <w:spacing w:val="-4"/>
        </w:rPr>
        <w:t xml:space="preserve"> </w:t>
      </w:r>
      <w:proofErr w:type="spellStart"/>
      <w:r>
        <w:t>Nyshadham</w:t>
      </w:r>
      <w:proofErr w:type="spellEnd"/>
      <w:r>
        <w:t>,</w:t>
      </w:r>
      <w:r>
        <w:rPr>
          <w:spacing w:val="-4"/>
        </w:rPr>
        <w:t xml:space="preserve"> </w:t>
      </w:r>
      <w:r>
        <w:t>A.</w:t>
      </w:r>
      <w:r>
        <w:rPr>
          <w:spacing w:val="-4"/>
        </w:rPr>
        <w:t xml:space="preserve"> </w:t>
      </w:r>
      <w:r>
        <w:t>(2014).</w:t>
      </w:r>
      <w:r>
        <w:rPr>
          <w:spacing w:val="-4"/>
        </w:rPr>
        <w:t xml:space="preserve"> </w:t>
      </w:r>
      <w:r>
        <w:t>Management</w:t>
      </w:r>
      <w:r>
        <w:rPr>
          <w:spacing w:val="-4"/>
        </w:rPr>
        <w:t xml:space="preserve"> </w:t>
      </w:r>
      <w:r>
        <w:t>and</w:t>
      </w:r>
      <w:r>
        <w:rPr>
          <w:spacing w:val="-4"/>
        </w:rPr>
        <w:t xml:space="preserve"> </w:t>
      </w:r>
      <w:r>
        <w:t>shocks</w:t>
      </w:r>
      <w:r>
        <w:rPr>
          <w:spacing w:val="-4"/>
        </w:rPr>
        <w:t xml:space="preserve"> </w:t>
      </w:r>
      <w:r>
        <w:t>to</w:t>
      </w:r>
      <w:r>
        <w:rPr>
          <w:spacing w:val="-4"/>
        </w:rPr>
        <w:t xml:space="preserve"> </w:t>
      </w:r>
      <w:r>
        <w:t>worker</w:t>
      </w:r>
      <w:r>
        <w:rPr>
          <w:spacing w:val="-4"/>
        </w:rPr>
        <w:t xml:space="preserve"> </w:t>
      </w:r>
      <w:r>
        <w:t>productivity: evidence from air pollution exposure in an Indian garment factory. Unpublished working paper, University of Michigan.</w:t>
      </w:r>
    </w:p>
    <w:p w14:paraId="45D79D7C" w14:textId="77777777" w:rsidR="00490FD7" w:rsidRDefault="00E46432" w:rsidP="00E70EB6">
      <w:pPr>
        <w:spacing w:before="200" w:line="276" w:lineRule="auto"/>
        <w:ind w:left="380" w:right="581"/>
      </w:pPr>
      <w:proofErr w:type="spellStart"/>
      <w:r>
        <w:t>Archsmith</w:t>
      </w:r>
      <w:proofErr w:type="spellEnd"/>
      <w:r>
        <w:t xml:space="preserve">, J., Heyes, A., &amp; </w:t>
      </w:r>
      <w:proofErr w:type="spellStart"/>
      <w:r>
        <w:t>Saberian</w:t>
      </w:r>
      <w:proofErr w:type="spellEnd"/>
      <w:r>
        <w:t xml:space="preserve">, S. (2018). Air quality </w:t>
      </w:r>
      <w:proofErr w:type="gramStart"/>
      <w:r>
        <w:t>and error</w:t>
      </w:r>
      <w:proofErr w:type="gramEnd"/>
      <w:r>
        <w:t xml:space="preserve"> quantity: Pollution and performance</w:t>
      </w:r>
      <w:r>
        <w:rPr>
          <w:spacing w:val="-5"/>
        </w:rPr>
        <w:t xml:space="preserve"> </w:t>
      </w:r>
      <w:r>
        <w:t>in</w:t>
      </w:r>
      <w:r>
        <w:rPr>
          <w:spacing w:val="-5"/>
        </w:rPr>
        <w:t xml:space="preserve"> </w:t>
      </w:r>
      <w:r>
        <w:t>a</w:t>
      </w:r>
      <w:r>
        <w:rPr>
          <w:spacing w:val="-5"/>
        </w:rPr>
        <w:t xml:space="preserve"> </w:t>
      </w:r>
      <w:r>
        <w:t>high-skilled,</w:t>
      </w:r>
      <w:r>
        <w:rPr>
          <w:spacing w:val="-5"/>
        </w:rPr>
        <w:t xml:space="preserve"> </w:t>
      </w:r>
      <w:r>
        <w:t>quality-focused</w:t>
      </w:r>
      <w:r>
        <w:rPr>
          <w:spacing w:val="-5"/>
        </w:rPr>
        <w:t xml:space="preserve"> </w:t>
      </w:r>
      <w:r>
        <w:t>occupation.</w:t>
      </w:r>
      <w:r>
        <w:rPr>
          <w:spacing w:val="-5"/>
        </w:rPr>
        <w:t xml:space="preserve"> </w:t>
      </w:r>
      <w:r>
        <w:t>Journal</w:t>
      </w:r>
      <w:r>
        <w:rPr>
          <w:spacing w:val="-5"/>
        </w:rPr>
        <w:t xml:space="preserve"> </w:t>
      </w:r>
      <w:r>
        <w:t>of</w:t>
      </w:r>
      <w:r>
        <w:rPr>
          <w:spacing w:val="-5"/>
        </w:rPr>
        <w:t xml:space="preserve"> </w:t>
      </w:r>
      <w:r>
        <w:t>the</w:t>
      </w:r>
      <w:r>
        <w:rPr>
          <w:spacing w:val="-5"/>
        </w:rPr>
        <w:t xml:space="preserve"> </w:t>
      </w:r>
      <w:r>
        <w:t>Association</w:t>
      </w:r>
      <w:r>
        <w:rPr>
          <w:spacing w:val="-5"/>
        </w:rPr>
        <w:t xml:space="preserve"> </w:t>
      </w:r>
      <w:r>
        <w:t>of</w:t>
      </w:r>
      <w:r>
        <w:rPr>
          <w:spacing w:val="-5"/>
        </w:rPr>
        <w:t xml:space="preserve"> </w:t>
      </w:r>
      <w:r>
        <w:t>Environmental and Resource Economists, 5(4), 827-863.</w:t>
      </w:r>
    </w:p>
    <w:p w14:paraId="7BC17662" w14:textId="77777777" w:rsidR="00490FD7" w:rsidRDefault="00E46432" w:rsidP="00E70EB6">
      <w:pPr>
        <w:spacing w:before="200" w:line="276" w:lineRule="auto"/>
        <w:ind w:left="380" w:right="581"/>
      </w:pPr>
      <w:r>
        <w:lastRenderedPageBreak/>
        <w:t>Ash,</w:t>
      </w:r>
      <w:r>
        <w:rPr>
          <w:spacing w:val="-5"/>
        </w:rPr>
        <w:t xml:space="preserve"> </w:t>
      </w:r>
      <w:r>
        <w:t>E.,</w:t>
      </w:r>
      <w:r>
        <w:rPr>
          <w:spacing w:val="-5"/>
        </w:rPr>
        <w:t xml:space="preserve"> </w:t>
      </w:r>
      <w:r>
        <w:t>Asher,</w:t>
      </w:r>
      <w:r>
        <w:rPr>
          <w:spacing w:val="-5"/>
        </w:rPr>
        <w:t xml:space="preserve"> </w:t>
      </w:r>
      <w:r>
        <w:t>S.,</w:t>
      </w:r>
      <w:r>
        <w:rPr>
          <w:spacing w:val="-5"/>
        </w:rPr>
        <w:t xml:space="preserve"> </w:t>
      </w:r>
      <w:r>
        <w:t>Bhowmick,</w:t>
      </w:r>
      <w:r>
        <w:rPr>
          <w:spacing w:val="-5"/>
        </w:rPr>
        <w:t xml:space="preserve"> </w:t>
      </w:r>
      <w:r>
        <w:t>A.,</w:t>
      </w:r>
      <w:r>
        <w:rPr>
          <w:spacing w:val="-5"/>
        </w:rPr>
        <w:t xml:space="preserve"> </w:t>
      </w:r>
      <w:proofErr w:type="spellStart"/>
      <w:r>
        <w:t>Bhupatiraju</w:t>
      </w:r>
      <w:proofErr w:type="spellEnd"/>
      <w:r>
        <w:t>,</w:t>
      </w:r>
      <w:r>
        <w:rPr>
          <w:spacing w:val="-5"/>
        </w:rPr>
        <w:t xml:space="preserve"> </w:t>
      </w:r>
      <w:r>
        <w:t>S.,</w:t>
      </w:r>
      <w:r>
        <w:rPr>
          <w:spacing w:val="-5"/>
        </w:rPr>
        <w:t xml:space="preserve"> </w:t>
      </w:r>
      <w:r>
        <w:t>Chen,</w:t>
      </w:r>
      <w:r>
        <w:rPr>
          <w:spacing w:val="-5"/>
        </w:rPr>
        <w:t xml:space="preserve"> </w:t>
      </w:r>
      <w:r>
        <w:t>D.,</w:t>
      </w:r>
      <w:r>
        <w:rPr>
          <w:spacing w:val="-5"/>
        </w:rPr>
        <w:t xml:space="preserve"> </w:t>
      </w:r>
      <w:r>
        <w:t>Devi,</w:t>
      </w:r>
      <w:r>
        <w:rPr>
          <w:spacing w:val="-5"/>
        </w:rPr>
        <w:t xml:space="preserve"> </w:t>
      </w:r>
      <w:r>
        <w:t>T.,</w:t>
      </w:r>
      <w:r>
        <w:rPr>
          <w:spacing w:val="-5"/>
        </w:rPr>
        <w:t xml:space="preserve"> </w:t>
      </w:r>
      <w:r>
        <w:t>...</w:t>
      </w:r>
      <w:r>
        <w:rPr>
          <w:spacing w:val="-5"/>
        </w:rPr>
        <w:t xml:space="preserve"> </w:t>
      </w:r>
      <w:r>
        <w:t>&amp;</w:t>
      </w:r>
      <w:r>
        <w:rPr>
          <w:spacing w:val="-5"/>
        </w:rPr>
        <w:t xml:space="preserve"> </w:t>
      </w:r>
      <w:r>
        <w:t>Siddiqi,</w:t>
      </w:r>
      <w:r>
        <w:rPr>
          <w:spacing w:val="-5"/>
        </w:rPr>
        <w:t xml:space="preserve"> </w:t>
      </w:r>
      <w:r>
        <w:t>B.</w:t>
      </w:r>
      <w:r>
        <w:rPr>
          <w:spacing w:val="-5"/>
        </w:rPr>
        <w:t xml:space="preserve"> </w:t>
      </w:r>
      <w:r>
        <w:t>(2022).</w:t>
      </w:r>
      <w:r>
        <w:rPr>
          <w:spacing w:val="-5"/>
        </w:rPr>
        <w:t xml:space="preserve"> </w:t>
      </w:r>
      <w:r>
        <w:t>In-group bias in the Indian judiciary.</w:t>
      </w:r>
    </w:p>
    <w:p w14:paraId="512FFDCA" w14:textId="4B438A6B" w:rsidR="008C0B68" w:rsidRDefault="008C0B68" w:rsidP="00E70EB6">
      <w:pPr>
        <w:spacing w:before="200" w:line="276" w:lineRule="auto"/>
        <w:ind w:left="380" w:right="581"/>
      </w:pPr>
      <w:r w:rsidRPr="008C0B68">
        <w:t xml:space="preserve">Chang, T., Graff </w:t>
      </w:r>
      <w:proofErr w:type="spellStart"/>
      <w:r w:rsidRPr="008C0B68">
        <w:t>Zivin</w:t>
      </w:r>
      <w:proofErr w:type="spellEnd"/>
      <w:r w:rsidRPr="008C0B68">
        <w:t xml:space="preserve">, J., Gross, T., &amp; </w:t>
      </w:r>
      <w:proofErr w:type="spellStart"/>
      <w:r w:rsidRPr="008C0B68">
        <w:t>Neidell</w:t>
      </w:r>
      <w:proofErr w:type="spellEnd"/>
      <w:r w:rsidRPr="008C0B68">
        <w:t>, M. (2016). Particulate pollution and the productivity of pear packers. </w:t>
      </w:r>
      <w:r w:rsidRPr="008C0B68">
        <w:rPr>
          <w:i/>
          <w:iCs/>
        </w:rPr>
        <w:t>American Economic Journal: Economic Policy</w:t>
      </w:r>
      <w:r w:rsidRPr="008C0B68">
        <w:t>, </w:t>
      </w:r>
      <w:r w:rsidRPr="008C0B68">
        <w:rPr>
          <w:i/>
          <w:iCs/>
        </w:rPr>
        <w:t>8</w:t>
      </w:r>
      <w:r w:rsidRPr="008C0B68">
        <w:t>(3), 141-169.</w:t>
      </w:r>
    </w:p>
    <w:p w14:paraId="5C25312D" w14:textId="68899FC6" w:rsidR="008C0B68" w:rsidRDefault="008C0B68" w:rsidP="00E70EB6">
      <w:pPr>
        <w:spacing w:before="200" w:line="276" w:lineRule="auto"/>
        <w:ind w:left="380" w:right="343"/>
        <w:rPr>
          <w:color w:val="212121"/>
        </w:rPr>
      </w:pPr>
      <w:r w:rsidRPr="008C0B68">
        <w:rPr>
          <w:color w:val="212121"/>
        </w:rPr>
        <w:t>Ebenstein, A., Lavy, V., &amp; Roth, S. (2016). The long-run economic consequences of high-stakes examinations: Evidence from transitory variation in pollution. </w:t>
      </w:r>
      <w:r w:rsidRPr="008C0B68">
        <w:rPr>
          <w:i/>
          <w:iCs/>
          <w:color w:val="212121"/>
        </w:rPr>
        <w:t>American Economic Journal: Applied Economics</w:t>
      </w:r>
      <w:r w:rsidRPr="008C0B68">
        <w:rPr>
          <w:color w:val="212121"/>
        </w:rPr>
        <w:t>, </w:t>
      </w:r>
      <w:r w:rsidRPr="008C0B68">
        <w:rPr>
          <w:i/>
          <w:iCs/>
          <w:color w:val="212121"/>
        </w:rPr>
        <w:t>8</w:t>
      </w:r>
      <w:r w:rsidRPr="008C0B68">
        <w:rPr>
          <w:color w:val="212121"/>
        </w:rPr>
        <w:t>(4), 36-65.</w:t>
      </w:r>
    </w:p>
    <w:p w14:paraId="47E793B9" w14:textId="55168626" w:rsidR="00490FD7" w:rsidRDefault="00E46432" w:rsidP="00E70EB6">
      <w:pPr>
        <w:spacing w:before="200" w:line="276" w:lineRule="auto"/>
        <w:ind w:left="380" w:right="343"/>
      </w:pPr>
      <w:r>
        <w:rPr>
          <w:color w:val="212121"/>
        </w:rPr>
        <w:t xml:space="preserve">Grande, G., Wu, J., Ljungman, P. L., </w:t>
      </w:r>
      <w:proofErr w:type="spellStart"/>
      <w:r>
        <w:rPr>
          <w:color w:val="212121"/>
        </w:rPr>
        <w:t>Stafoggia</w:t>
      </w:r>
      <w:proofErr w:type="spellEnd"/>
      <w:r>
        <w:rPr>
          <w:color w:val="212121"/>
        </w:rPr>
        <w:t xml:space="preserve">, M., </w:t>
      </w:r>
      <w:proofErr w:type="spellStart"/>
      <w:r>
        <w:rPr>
          <w:color w:val="212121"/>
        </w:rPr>
        <w:t>Bellander</w:t>
      </w:r>
      <w:proofErr w:type="spellEnd"/>
      <w:r>
        <w:rPr>
          <w:color w:val="212121"/>
        </w:rPr>
        <w:t>, T., &amp; Rizzuto, D. (2021). Long-term exposure</w:t>
      </w:r>
      <w:r>
        <w:rPr>
          <w:color w:val="212121"/>
          <w:spacing w:val="-5"/>
        </w:rPr>
        <w:t xml:space="preserve"> </w:t>
      </w:r>
      <w:r>
        <w:rPr>
          <w:color w:val="212121"/>
        </w:rPr>
        <w:t>to</w:t>
      </w:r>
      <w:r>
        <w:rPr>
          <w:color w:val="212121"/>
          <w:spacing w:val="-5"/>
        </w:rPr>
        <w:t xml:space="preserve"> </w:t>
      </w:r>
      <w:r>
        <w:rPr>
          <w:color w:val="212121"/>
        </w:rPr>
        <w:t>PM</w:t>
      </w:r>
      <w:r>
        <w:rPr>
          <w:color w:val="212121"/>
          <w:spacing w:val="-5"/>
        </w:rPr>
        <w:t xml:space="preserve"> </w:t>
      </w:r>
      <w:r>
        <w:rPr>
          <w:color w:val="212121"/>
        </w:rPr>
        <w:t>2.5</w:t>
      </w:r>
      <w:r>
        <w:rPr>
          <w:color w:val="212121"/>
          <w:spacing w:val="-5"/>
        </w:rPr>
        <w:t xml:space="preserve"> </w:t>
      </w:r>
      <w:r>
        <w:rPr>
          <w:color w:val="212121"/>
        </w:rPr>
        <w:t>and</w:t>
      </w:r>
      <w:r>
        <w:rPr>
          <w:color w:val="212121"/>
          <w:spacing w:val="-5"/>
        </w:rPr>
        <w:t xml:space="preserve"> </w:t>
      </w:r>
      <w:r>
        <w:rPr>
          <w:color w:val="212121"/>
        </w:rPr>
        <w:t>cognitive</w:t>
      </w:r>
      <w:r>
        <w:rPr>
          <w:color w:val="212121"/>
          <w:spacing w:val="-5"/>
        </w:rPr>
        <w:t xml:space="preserve"> </w:t>
      </w:r>
      <w:r>
        <w:rPr>
          <w:color w:val="212121"/>
        </w:rPr>
        <w:t>decline:</w:t>
      </w:r>
      <w:r>
        <w:rPr>
          <w:color w:val="212121"/>
          <w:spacing w:val="-5"/>
        </w:rPr>
        <w:t xml:space="preserve"> </w:t>
      </w:r>
      <w:r>
        <w:rPr>
          <w:color w:val="212121"/>
        </w:rPr>
        <w:t>a</w:t>
      </w:r>
      <w:r>
        <w:rPr>
          <w:color w:val="212121"/>
          <w:spacing w:val="-5"/>
        </w:rPr>
        <w:t xml:space="preserve"> </w:t>
      </w:r>
      <w:r>
        <w:rPr>
          <w:color w:val="212121"/>
        </w:rPr>
        <w:t>longitudinal</w:t>
      </w:r>
      <w:r>
        <w:rPr>
          <w:color w:val="212121"/>
          <w:spacing w:val="-5"/>
        </w:rPr>
        <w:t xml:space="preserve"> </w:t>
      </w:r>
      <w:r>
        <w:rPr>
          <w:color w:val="212121"/>
        </w:rPr>
        <w:t>population-based</w:t>
      </w:r>
      <w:r>
        <w:rPr>
          <w:color w:val="212121"/>
          <w:spacing w:val="-5"/>
        </w:rPr>
        <w:t xml:space="preserve"> </w:t>
      </w:r>
      <w:r>
        <w:rPr>
          <w:color w:val="212121"/>
        </w:rPr>
        <w:t>study.</w:t>
      </w:r>
      <w:r>
        <w:rPr>
          <w:color w:val="212121"/>
          <w:spacing w:val="-5"/>
        </w:rPr>
        <w:t xml:space="preserve"> </w:t>
      </w:r>
      <w:r>
        <w:rPr>
          <w:i/>
          <w:color w:val="212121"/>
        </w:rPr>
        <w:t>Journal</w:t>
      </w:r>
      <w:r>
        <w:rPr>
          <w:i/>
          <w:color w:val="212121"/>
          <w:spacing w:val="-5"/>
        </w:rPr>
        <w:t xml:space="preserve"> </w:t>
      </w:r>
      <w:r>
        <w:rPr>
          <w:i/>
          <w:color w:val="212121"/>
        </w:rPr>
        <w:t>of</w:t>
      </w:r>
      <w:r>
        <w:rPr>
          <w:i/>
          <w:color w:val="212121"/>
          <w:spacing w:val="-5"/>
        </w:rPr>
        <w:t xml:space="preserve"> </w:t>
      </w:r>
      <w:r>
        <w:rPr>
          <w:i/>
          <w:color w:val="212121"/>
        </w:rPr>
        <w:t>Alzheimer's Disease</w:t>
      </w:r>
      <w:r>
        <w:rPr>
          <w:color w:val="212121"/>
        </w:rPr>
        <w:t xml:space="preserve">, </w:t>
      </w:r>
      <w:r>
        <w:rPr>
          <w:i/>
          <w:color w:val="212121"/>
        </w:rPr>
        <w:t>80</w:t>
      </w:r>
      <w:r>
        <w:rPr>
          <w:color w:val="212121"/>
        </w:rPr>
        <w:t>(2), 591-599.</w:t>
      </w:r>
    </w:p>
    <w:p w14:paraId="1A1AFF72" w14:textId="77777777" w:rsidR="00490FD7" w:rsidRDefault="00E46432" w:rsidP="00E70EB6">
      <w:pPr>
        <w:spacing w:before="200" w:line="276" w:lineRule="auto"/>
        <w:ind w:left="380" w:right="932"/>
      </w:pPr>
      <w:r>
        <w:t>Heys,</w:t>
      </w:r>
      <w:r>
        <w:rPr>
          <w:spacing w:val="-5"/>
        </w:rPr>
        <w:t xml:space="preserve"> </w:t>
      </w:r>
      <w:r>
        <w:t>A.</w:t>
      </w:r>
      <w:r>
        <w:rPr>
          <w:spacing w:val="-5"/>
        </w:rPr>
        <w:t xml:space="preserve"> </w:t>
      </w:r>
      <w:r>
        <w:t>&amp;</w:t>
      </w:r>
      <w:r>
        <w:rPr>
          <w:spacing w:val="-5"/>
        </w:rPr>
        <w:t xml:space="preserve"> </w:t>
      </w:r>
      <w:proofErr w:type="spellStart"/>
      <w:r>
        <w:t>Saberian</w:t>
      </w:r>
      <w:proofErr w:type="spellEnd"/>
      <w:r>
        <w:t>,</w:t>
      </w:r>
      <w:r>
        <w:rPr>
          <w:spacing w:val="-5"/>
        </w:rPr>
        <w:t xml:space="preserve"> </w:t>
      </w:r>
      <w:r>
        <w:t>S.</w:t>
      </w:r>
      <w:r>
        <w:rPr>
          <w:spacing w:val="-5"/>
        </w:rPr>
        <w:t xml:space="preserve"> </w:t>
      </w:r>
      <w:r>
        <w:t>(2019).</w:t>
      </w:r>
      <w:r>
        <w:rPr>
          <w:spacing w:val="-5"/>
        </w:rPr>
        <w:t xml:space="preserve"> </w:t>
      </w:r>
      <w:r>
        <w:t>Temperature</w:t>
      </w:r>
      <w:r>
        <w:rPr>
          <w:spacing w:val="-5"/>
        </w:rPr>
        <w:t xml:space="preserve"> </w:t>
      </w:r>
      <w:r>
        <w:t>and</w:t>
      </w:r>
      <w:r>
        <w:rPr>
          <w:spacing w:val="-5"/>
        </w:rPr>
        <w:t xml:space="preserve"> </w:t>
      </w:r>
      <w:r>
        <w:t>Decisions:</w:t>
      </w:r>
      <w:r>
        <w:rPr>
          <w:spacing w:val="-5"/>
        </w:rPr>
        <w:t xml:space="preserve"> </w:t>
      </w:r>
      <w:r>
        <w:t>Evidence</w:t>
      </w:r>
      <w:r>
        <w:rPr>
          <w:spacing w:val="-5"/>
        </w:rPr>
        <w:t xml:space="preserve"> </w:t>
      </w:r>
      <w:r>
        <w:t>from</w:t>
      </w:r>
      <w:r>
        <w:rPr>
          <w:spacing w:val="-5"/>
        </w:rPr>
        <w:t xml:space="preserve"> </w:t>
      </w:r>
      <w:r>
        <w:t>207,000</w:t>
      </w:r>
      <w:r>
        <w:rPr>
          <w:spacing w:val="-5"/>
        </w:rPr>
        <w:t xml:space="preserve"> </w:t>
      </w:r>
      <w:r>
        <w:t>Court</w:t>
      </w:r>
      <w:r>
        <w:rPr>
          <w:spacing w:val="-5"/>
        </w:rPr>
        <w:t xml:space="preserve"> </w:t>
      </w:r>
      <w:r>
        <w:t>cases. American Economic Journal. 11(2): 238-265</w:t>
      </w:r>
    </w:p>
    <w:p w14:paraId="4E8C7030" w14:textId="2717152F" w:rsidR="00E70EB6" w:rsidRDefault="00E70EB6" w:rsidP="00E70EB6">
      <w:pPr>
        <w:spacing w:before="200" w:line="276" w:lineRule="auto"/>
        <w:ind w:left="380" w:right="932"/>
      </w:pPr>
      <w:r w:rsidRPr="00E70EB6">
        <w:t>Hoffmann, B., &amp; Rud, J. P. (2024). The unequal effects of pollution on labor supply. </w:t>
      </w:r>
      <w:proofErr w:type="spellStart"/>
      <w:r w:rsidRPr="00E70EB6">
        <w:rPr>
          <w:i/>
          <w:iCs/>
        </w:rPr>
        <w:t>Econometrica</w:t>
      </w:r>
      <w:proofErr w:type="spellEnd"/>
      <w:r w:rsidRPr="00E70EB6">
        <w:t>, </w:t>
      </w:r>
      <w:r w:rsidRPr="00E70EB6">
        <w:rPr>
          <w:i/>
          <w:iCs/>
        </w:rPr>
        <w:t>92</w:t>
      </w:r>
      <w:r w:rsidRPr="00E70EB6">
        <w:t>(4), 1063-1096.</w:t>
      </w:r>
    </w:p>
    <w:p w14:paraId="18C666B9" w14:textId="77777777" w:rsidR="00490FD7" w:rsidRDefault="00E46432" w:rsidP="00E70EB6">
      <w:pPr>
        <w:spacing w:before="200" w:line="276" w:lineRule="auto"/>
        <w:ind w:left="380" w:right="343"/>
      </w:pPr>
      <w:r>
        <w:t>Holub,</w:t>
      </w:r>
      <w:r>
        <w:rPr>
          <w:spacing w:val="-8"/>
        </w:rPr>
        <w:t xml:space="preserve"> </w:t>
      </w:r>
      <w:r>
        <w:t>F.,</w:t>
      </w:r>
      <w:r>
        <w:rPr>
          <w:spacing w:val="-8"/>
        </w:rPr>
        <w:t xml:space="preserve"> </w:t>
      </w:r>
      <w:r>
        <w:t>&amp;</w:t>
      </w:r>
      <w:r>
        <w:rPr>
          <w:spacing w:val="-8"/>
        </w:rPr>
        <w:t xml:space="preserve"> </w:t>
      </w:r>
      <w:r>
        <w:t>Thies,</w:t>
      </w:r>
      <w:r>
        <w:rPr>
          <w:spacing w:val="-8"/>
        </w:rPr>
        <w:t xml:space="preserve"> </w:t>
      </w:r>
      <w:r>
        <w:t>B.</w:t>
      </w:r>
      <w:r>
        <w:rPr>
          <w:spacing w:val="-8"/>
        </w:rPr>
        <w:t xml:space="preserve"> </w:t>
      </w:r>
      <w:r>
        <w:t>(2023).</w:t>
      </w:r>
      <w:r>
        <w:rPr>
          <w:spacing w:val="-8"/>
        </w:rPr>
        <w:t xml:space="preserve"> </w:t>
      </w:r>
      <w:r>
        <w:t>Air</w:t>
      </w:r>
      <w:r>
        <w:rPr>
          <w:spacing w:val="-8"/>
        </w:rPr>
        <w:t xml:space="preserve"> </w:t>
      </w:r>
      <w:r>
        <w:t>Quality,</w:t>
      </w:r>
      <w:r>
        <w:rPr>
          <w:spacing w:val="-8"/>
        </w:rPr>
        <w:t xml:space="preserve"> </w:t>
      </w:r>
      <w:r>
        <w:t>High-Skilled</w:t>
      </w:r>
      <w:r>
        <w:rPr>
          <w:spacing w:val="-8"/>
        </w:rPr>
        <w:t xml:space="preserve"> </w:t>
      </w:r>
      <w:r>
        <w:t>Worker</w:t>
      </w:r>
      <w:r>
        <w:rPr>
          <w:spacing w:val="-8"/>
        </w:rPr>
        <w:t xml:space="preserve"> </w:t>
      </w:r>
      <w:r>
        <w:t>Productivity</w:t>
      </w:r>
      <w:r>
        <w:rPr>
          <w:spacing w:val="-8"/>
        </w:rPr>
        <w:t xml:space="preserve"> </w:t>
      </w:r>
      <w:r>
        <w:t>and</w:t>
      </w:r>
      <w:r>
        <w:rPr>
          <w:spacing w:val="-8"/>
        </w:rPr>
        <w:t xml:space="preserve"> </w:t>
      </w:r>
      <w:r>
        <w:t>Adaptation:</w:t>
      </w:r>
      <w:r>
        <w:rPr>
          <w:spacing w:val="-8"/>
        </w:rPr>
        <w:t xml:space="preserve"> </w:t>
      </w:r>
      <w:r>
        <w:t xml:space="preserve">Evidence from GitHub. High-Skilled Worker Productivity and Adaptation: Evidence from </w:t>
      </w:r>
      <w:proofErr w:type="spellStart"/>
      <w:r>
        <w:t>Github</w:t>
      </w:r>
      <w:proofErr w:type="spellEnd"/>
    </w:p>
    <w:p w14:paraId="0E5F846D" w14:textId="77777777" w:rsidR="00490FD7" w:rsidRDefault="00E46432" w:rsidP="00E70EB6">
      <w:pPr>
        <w:spacing w:before="200" w:line="276" w:lineRule="auto"/>
        <w:ind w:left="380"/>
      </w:pPr>
      <w:r>
        <w:t>Kahn,</w:t>
      </w:r>
      <w:r>
        <w:rPr>
          <w:spacing w:val="-5"/>
        </w:rPr>
        <w:t xml:space="preserve"> </w:t>
      </w:r>
      <w:r>
        <w:t>M.</w:t>
      </w:r>
      <w:r>
        <w:rPr>
          <w:spacing w:val="-5"/>
        </w:rPr>
        <w:t xml:space="preserve"> </w:t>
      </w:r>
      <w:r>
        <w:t>E.,</w:t>
      </w:r>
      <w:r>
        <w:rPr>
          <w:spacing w:val="-5"/>
        </w:rPr>
        <w:t xml:space="preserve"> </w:t>
      </w:r>
      <w:r>
        <w:t>&amp;</w:t>
      </w:r>
      <w:r>
        <w:rPr>
          <w:spacing w:val="-5"/>
        </w:rPr>
        <w:t xml:space="preserve"> </w:t>
      </w:r>
      <w:r>
        <w:t>Li,</w:t>
      </w:r>
      <w:r>
        <w:rPr>
          <w:spacing w:val="-5"/>
        </w:rPr>
        <w:t xml:space="preserve"> </w:t>
      </w:r>
      <w:r>
        <w:t>P.</w:t>
      </w:r>
      <w:r>
        <w:rPr>
          <w:spacing w:val="-5"/>
        </w:rPr>
        <w:t xml:space="preserve"> </w:t>
      </w:r>
      <w:r>
        <w:t>(2020).</w:t>
      </w:r>
      <w:r>
        <w:rPr>
          <w:spacing w:val="-5"/>
        </w:rPr>
        <w:t xml:space="preserve"> </w:t>
      </w:r>
      <w:r>
        <w:t>Air</w:t>
      </w:r>
      <w:r>
        <w:rPr>
          <w:spacing w:val="-5"/>
        </w:rPr>
        <w:t xml:space="preserve"> </w:t>
      </w:r>
      <w:r>
        <w:t>pollution</w:t>
      </w:r>
      <w:r>
        <w:rPr>
          <w:spacing w:val="-5"/>
        </w:rPr>
        <w:t xml:space="preserve"> </w:t>
      </w:r>
      <w:r>
        <w:t>lowers</w:t>
      </w:r>
      <w:r>
        <w:rPr>
          <w:spacing w:val="-5"/>
        </w:rPr>
        <w:t xml:space="preserve"> </w:t>
      </w:r>
      <w:r>
        <w:t>high</w:t>
      </w:r>
      <w:r>
        <w:rPr>
          <w:spacing w:val="-5"/>
        </w:rPr>
        <w:t xml:space="preserve"> </w:t>
      </w:r>
      <w:r>
        <w:t>skill</w:t>
      </w:r>
      <w:r>
        <w:rPr>
          <w:spacing w:val="-5"/>
        </w:rPr>
        <w:t xml:space="preserve"> </w:t>
      </w:r>
      <w:r>
        <w:t>public</w:t>
      </w:r>
      <w:r>
        <w:rPr>
          <w:spacing w:val="-5"/>
        </w:rPr>
        <w:t xml:space="preserve"> </w:t>
      </w:r>
      <w:r>
        <w:t>sector</w:t>
      </w:r>
      <w:r>
        <w:rPr>
          <w:spacing w:val="-5"/>
        </w:rPr>
        <w:t xml:space="preserve"> </w:t>
      </w:r>
      <w:r>
        <w:t>worker</w:t>
      </w:r>
      <w:r>
        <w:rPr>
          <w:spacing w:val="-5"/>
        </w:rPr>
        <w:t xml:space="preserve"> </w:t>
      </w:r>
      <w:r>
        <w:t>productivity</w:t>
      </w:r>
      <w:r>
        <w:rPr>
          <w:spacing w:val="-5"/>
        </w:rPr>
        <w:t xml:space="preserve"> </w:t>
      </w:r>
      <w:r>
        <w:t>in</w:t>
      </w:r>
      <w:r>
        <w:rPr>
          <w:spacing w:val="-5"/>
        </w:rPr>
        <w:t xml:space="preserve"> </w:t>
      </w:r>
      <w:r>
        <w:t>China. Environmental Research Letters, 15(8), 084003.</w:t>
      </w:r>
    </w:p>
    <w:p w14:paraId="01680C70" w14:textId="77777777" w:rsidR="00490FD7" w:rsidRDefault="00E46432" w:rsidP="00E70EB6">
      <w:pPr>
        <w:spacing w:before="200" w:line="276" w:lineRule="auto"/>
        <w:ind w:left="380" w:right="904"/>
      </w:pPr>
      <w:r>
        <w:rPr>
          <w:color w:val="212121"/>
        </w:rPr>
        <w:t>Ke,</w:t>
      </w:r>
      <w:r>
        <w:rPr>
          <w:color w:val="212121"/>
          <w:spacing w:val="-6"/>
        </w:rPr>
        <w:t xml:space="preserve"> </w:t>
      </w:r>
      <w:r>
        <w:rPr>
          <w:color w:val="212121"/>
        </w:rPr>
        <w:t>L.,</w:t>
      </w:r>
      <w:r>
        <w:rPr>
          <w:color w:val="212121"/>
          <w:spacing w:val="-6"/>
        </w:rPr>
        <w:t xml:space="preserve"> </w:t>
      </w:r>
      <w:r>
        <w:rPr>
          <w:color w:val="212121"/>
        </w:rPr>
        <w:t>Zhang,</w:t>
      </w:r>
      <w:r>
        <w:rPr>
          <w:color w:val="212121"/>
          <w:spacing w:val="-6"/>
        </w:rPr>
        <w:t xml:space="preserve"> </w:t>
      </w:r>
      <w:r>
        <w:rPr>
          <w:color w:val="212121"/>
        </w:rPr>
        <w:t>Y.,</w:t>
      </w:r>
      <w:r>
        <w:rPr>
          <w:color w:val="212121"/>
          <w:spacing w:val="-6"/>
        </w:rPr>
        <w:t xml:space="preserve"> </w:t>
      </w:r>
      <w:r>
        <w:rPr>
          <w:color w:val="212121"/>
        </w:rPr>
        <w:t>Fu,</w:t>
      </w:r>
      <w:r>
        <w:rPr>
          <w:color w:val="212121"/>
          <w:spacing w:val="-6"/>
        </w:rPr>
        <w:t xml:space="preserve"> </w:t>
      </w:r>
      <w:r>
        <w:rPr>
          <w:color w:val="212121"/>
        </w:rPr>
        <w:t>Y.,</w:t>
      </w:r>
      <w:r>
        <w:rPr>
          <w:color w:val="212121"/>
          <w:spacing w:val="-6"/>
        </w:rPr>
        <w:t xml:space="preserve"> </w:t>
      </w:r>
      <w:r>
        <w:rPr>
          <w:color w:val="212121"/>
        </w:rPr>
        <w:t>Shen,</w:t>
      </w:r>
      <w:r>
        <w:rPr>
          <w:color w:val="212121"/>
          <w:spacing w:val="-6"/>
        </w:rPr>
        <w:t xml:space="preserve"> </w:t>
      </w:r>
      <w:r>
        <w:rPr>
          <w:color w:val="212121"/>
        </w:rPr>
        <w:t>X.,</w:t>
      </w:r>
      <w:r>
        <w:rPr>
          <w:color w:val="212121"/>
          <w:spacing w:val="-6"/>
        </w:rPr>
        <w:t xml:space="preserve"> </w:t>
      </w:r>
      <w:r>
        <w:rPr>
          <w:color w:val="212121"/>
        </w:rPr>
        <w:t>Zhang,</w:t>
      </w:r>
      <w:r>
        <w:rPr>
          <w:color w:val="212121"/>
          <w:spacing w:val="-6"/>
        </w:rPr>
        <w:t xml:space="preserve"> </w:t>
      </w:r>
      <w:r>
        <w:rPr>
          <w:color w:val="212121"/>
        </w:rPr>
        <w:t>Y.,</w:t>
      </w:r>
      <w:r>
        <w:rPr>
          <w:color w:val="212121"/>
          <w:spacing w:val="-6"/>
        </w:rPr>
        <w:t xml:space="preserve"> </w:t>
      </w:r>
      <w:r>
        <w:rPr>
          <w:color w:val="212121"/>
        </w:rPr>
        <w:t>Ma,</w:t>
      </w:r>
      <w:r>
        <w:rPr>
          <w:color w:val="212121"/>
          <w:spacing w:val="-6"/>
        </w:rPr>
        <w:t xml:space="preserve"> </w:t>
      </w:r>
      <w:r>
        <w:rPr>
          <w:color w:val="212121"/>
        </w:rPr>
        <w:t>X.,</w:t>
      </w:r>
      <w:r>
        <w:rPr>
          <w:color w:val="212121"/>
          <w:spacing w:val="-6"/>
        </w:rPr>
        <w:t xml:space="preserve"> </w:t>
      </w:r>
      <w:r>
        <w:rPr>
          <w:color w:val="212121"/>
        </w:rPr>
        <w:t>&amp;</w:t>
      </w:r>
      <w:r>
        <w:rPr>
          <w:color w:val="212121"/>
          <w:spacing w:val="-6"/>
        </w:rPr>
        <w:t xml:space="preserve"> </w:t>
      </w:r>
      <w:r>
        <w:rPr>
          <w:color w:val="212121"/>
        </w:rPr>
        <w:t>Di,</w:t>
      </w:r>
      <w:r>
        <w:rPr>
          <w:color w:val="212121"/>
          <w:spacing w:val="-6"/>
        </w:rPr>
        <w:t xml:space="preserve"> </w:t>
      </w:r>
      <w:r>
        <w:rPr>
          <w:color w:val="212121"/>
        </w:rPr>
        <w:t>Q.</w:t>
      </w:r>
      <w:r>
        <w:rPr>
          <w:color w:val="212121"/>
          <w:spacing w:val="-6"/>
        </w:rPr>
        <w:t xml:space="preserve"> </w:t>
      </w:r>
      <w:r>
        <w:rPr>
          <w:color w:val="212121"/>
        </w:rPr>
        <w:t>(2022).</w:t>
      </w:r>
      <w:r>
        <w:rPr>
          <w:color w:val="212121"/>
          <w:spacing w:val="-6"/>
        </w:rPr>
        <w:t xml:space="preserve"> </w:t>
      </w:r>
      <w:r>
        <w:rPr>
          <w:color w:val="212121"/>
        </w:rPr>
        <w:t>Short-term</w:t>
      </w:r>
      <w:r>
        <w:rPr>
          <w:color w:val="212121"/>
          <w:spacing w:val="-6"/>
        </w:rPr>
        <w:t xml:space="preserve"> </w:t>
      </w:r>
      <w:r>
        <w:rPr>
          <w:color w:val="212121"/>
        </w:rPr>
        <w:t>PM2.</w:t>
      </w:r>
      <w:r>
        <w:rPr>
          <w:color w:val="212121"/>
          <w:spacing w:val="-6"/>
        </w:rPr>
        <w:t xml:space="preserve"> </w:t>
      </w:r>
      <w:r>
        <w:rPr>
          <w:color w:val="212121"/>
        </w:rPr>
        <w:t>5</w:t>
      </w:r>
      <w:r>
        <w:rPr>
          <w:color w:val="212121"/>
          <w:spacing w:val="-6"/>
        </w:rPr>
        <w:t xml:space="preserve"> </w:t>
      </w:r>
      <w:r>
        <w:rPr>
          <w:color w:val="212121"/>
        </w:rPr>
        <w:t>exposure and</w:t>
      </w:r>
      <w:r>
        <w:rPr>
          <w:color w:val="212121"/>
          <w:spacing w:val="-7"/>
        </w:rPr>
        <w:t xml:space="preserve"> </w:t>
      </w:r>
      <w:r>
        <w:rPr>
          <w:color w:val="212121"/>
        </w:rPr>
        <w:t>cognitive</w:t>
      </w:r>
      <w:r>
        <w:rPr>
          <w:color w:val="212121"/>
          <w:spacing w:val="-7"/>
        </w:rPr>
        <w:t xml:space="preserve"> </w:t>
      </w:r>
      <w:r>
        <w:rPr>
          <w:color w:val="212121"/>
        </w:rPr>
        <w:t>function:</w:t>
      </w:r>
      <w:r>
        <w:rPr>
          <w:color w:val="212121"/>
          <w:spacing w:val="-7"/>
        </w:rPr>
        <w:t xml:space="preserve"> </w:t>
      </w:r>
      <w:r>
        <w:rPr>
          <w:color w:val="212121"/>
        </w:rPr>
        <w:t>Association</w:t>
      </w:r>
      <w:r>
        <w:rPr>
          <w:color w:val="212121"/>
          <w:spacing w:val="-7"/>
        </w:rPr>
        <w:t xml:space="preserve"> </w:t>
      </w:r>
      <w:r>
        <w:rPr>
          <w:color w:val="212121"/>
        </w:rPr>
        <w:t>and</w:t>
      </w:r>
      <w:r>
        <w:rPr>
          <w:color w:val="212121"/>
          <w:spacing w:val="-7"/>
        </w:rPr>
        <w:t xml:space="preserve"> </w:t>
      </w:r>
      <w:r>
        <w:rPr>
          <w:color w:val="212121"/>
        </w:rPr>
        <w:t>neurophysiological</w:t>
      </w:r>
      <w:r>
        <w:rPr>
          <w:color w:val="212121"/>
          <w:spacing w:val="-7"/>
        </w:rPr>
        <w:t xml:space="preserve"> </w:t>
      </w:r>
      <w:r>
        <w:rPr>
          <w:color w:val="212121"/>
        </w:rPr>
        <w:t>mechanisms.</w:t>
      </w:r>
      <w:r>
        <w:rPr>
          <w:color w:val="212121"/>
          <w:spacing w:val="-7"/>
        </w:rPr>
        <w:t xml:space="preserve"> </w:t>
      </w:r>
      <w:r>
        <w:rPr>
          <w:i/>
          <w:color w:val="212121"/>
        </w:rPr>
        <w:t>Environment</w:t>
      </w:r>
      <w:r>
        <w:rPr>
          <w:i/>
          <w:color w:val="212121"/>
          <w:spacing w:val="-7"/>
        </w:rPr>
        <w:t xml:space="preserve"> </w:t>
      </w:r>
      <w:r>
        <w:rPr>
          <w:i/>
          <w:color w:val="212121"/>
        </w:rPr>
        <w:t>International</w:t>
      </w:r>
      <w:r>
        <w:rPr>
          <w:color w:val="212121"/>
        </w:rPr>
        <w:t xml:space="preserve">, </w:t>
      </w:r>
      <w:r>
        <w:rPr>
          <w:i/>
          <w:color w:val="212121"/>
        </w:rPr>
        <w:t>170</w:t>
      </w:r>
      <w:r>
        <w:rPr>
          <w:color w:val="212121"/>
        </w:rPr>
        <w:t>, 107593.</w:t>
      </w:r>
    </w:p>
    <w:p w14:paraId="0FB1D911" w14:textId="77777777" w:rsidR="00490FD7" w:rsidRDefault="00E46432" w:rsidP="00E70EB6">
      <w:pPr>
        <w:spacing w:before="200" w:line="276" w:lineRule="auto"/>
        <w:ind w:left="380" w:right="932"/>
      </w:pPr>
      <w:r>
        <w:t>Kolz,</w:t>
      </w:r>
      <w:r>
        <w:rPr>
          <w:spacing w:val="-3"/>
        </w:rPr>
        <w:t xml:space="preserve"> </w:t>
      </w:r>
      <w:r>
        <w:t>A.</w:t>
      </w:r>
      <w:r>
        <w:rPr>
          <w:spacing w:val="-3"/>
        </w:rPr>
        <w:t xml:space="preserve"> </w:t>
      </w:r>
      <w:r>
        <w:t>R.,</w:t>
      </w:r>
      <w:r>
        <w:rPr>
          <w:spacing w:val="-3"/>
        </w:rPr>
        <w:t xml:space="preserve"> </w:t>
      </w:r>
      <w:proofErr w:type="spellStart"/>
      <w:r>
        <w:t>Mcfarland</w:t>
      </w:r>
      <w:proofErr w:type="spellEnd"/>
      <w:r>
        <w:t>,</w:t>
      </w:r>
      <w:r>
        <w:rPr>
          <w:spacing w:val="-3"/>
        </w:rPr>
        <w:t xml:space="preserve"> </w:t>
      </w:r>
      <w:r>
        <w:t>L.</w:t>
      </w:r>
      <w:r>
        <w:rPr>
          <w:spacing w:val="-3"/>
        </w:rPr>
        <w:t xml:space="preserve"> </w:t>
      </w:r>
      <w:r>
        <w:t>A.,</w:t>
      </w:r>
      <w:r>
        <w:rPr>
          <w:spacing w:val="-3"/>
        </w:rPr>
        <w:t xml:space="preserve"> </w:t>
      </w:r>
      <w:r>
        <w:t>&amp;</w:t>
      </w:r>
      <w:r>
        <w:rPr>
          <w:spacing w:val="-3"/>
        </w:rPr>
        <w:t xml:space="preserve"> </w:t>
      </w:r>
      <w:r>
        <w:t>Silverman,</w:t>
      </w:r>
      <w:r>
        <w:rPr>
          <w:spacing w:val="-3"/>
        </w:rPr>
        <w:t xml:space="preserve"> </w:t>
      </w:r>
      <w:r>
        <w:t>S.</w:t>
      </w:r>
      <w:r>
        <w:rPr>
          <w:spacing w:val="-3"/>
        </w:rPr>
        <w:t xml:space="preserve"> </w:t>
      </w:r>
      <w:r>
        <w:t>B.</w:t>
      </w:r>
      <w:r>
        <w:rPr>
          <w:spacing w:val="-3"/>
        </w:rPr>
        <w:t xml:space="preserve"> </w:t>
      </w:r>
      <w:r>
        <w:t>(1998).</w:t>
      </w:r>
      <w:r>
        <w:rPr>
          <w:spacing w:val="-3"/>
        </w:rPr>
        <w:t xml:space="preserve"> </w:t>
      </w:r>
      <w:r>
        <w:t>Cognitive</w:t>
      </w:r>
      <w:r>
        <w:rPr>
          <w:spacing w:val="-3"/>
        </w:rPr>
        <w:t xml:space="preserve"> </w:t>
      </w:r>
      <w:r>
        <w:t>ability</w:t>
      </w:r>
      <w:r>
        <w:rPr>
          <w:spacing w:val="-3"/>
        </w:rPr>
        <w:t xml:space="preserve"> </w:t>
      </w:r>
      <w:r>
        <w:t>and</w:t>
      </w:r>
      <w:r>
        <w:rPr>
          <w:spacing w:val="-3"/>
        </w:rPr>
        <w:t xml:space="preserve"> </w:t>
      </w:r>
      <w:r>
        <w:t>job</w:t>
      </w:r>
      <w:r>
        <w:rPr>
          <w:spacing w:val="-3"/>
        </w:rPr>
        <w:t xml:space="preserve"> </w:t>
      </w:r>
      <w:r>
        <w:t>experience</w:t>
      </w:r>
      <w:r>
        <w:rPr>
          <w:spacing w:val="-3"/>
        </w:rPr>
        <w:t xml:space="preserve"> </w:t>
      </w:r>
      <w:r>
        <w:t>as predictors of work performance. The Journal of Psychology, 132(5), 539.</w:t>
      </w:r>
    </w:p>
    <w:p w14:paraId="5D8D4467" w14:textId="51546CAC" w:rsidR="008C0B68" w:rsidRDefault="008C0B68" w:rsidP="00E70EB6">
      <w:pPr>
        <w:spacing w:before="200" w:line="276" w:lineRule="auto"/>
        <w:ind w:left="380" w:right="932"/>
      </w:pPr>
      <w:r w:rsidRPr="008C0B68">
        <w:t xml:space="preserve">Krebs, B., &amp; </w:t>
      </w:r>
      <w:proofErr w:type="spellStart"/>
      <w:r w:rsidRPr="008C0B68">
        <w:t>Luechinger</w:t>
      </w:r>
      <w:proofErr w:type="spellEnd"/>
      <w:r w:rsidRPr="008C0B68">
        <w:t>, S. (2024). Air pollution, cognitive performance, and the role of task proficiency. </w:t>
      </w:r>
      <w:r w:rsidRPr="008C0B68">
        <w:rPr>
          <w:i/>
          <w:iCs/>
        </w:rPr>
        <w:t>Journal of the Association of Environmental and Resource Economists</w:t>
      </w:r>
      <w:r w:rsidRPr="008C0B68">
        <w:t>, </w:t>
      </w:r>
      <w:r w:rsidRPr="008C0B68">
        <w:rPr>
          <w:i/>
          <w:iCs/>
        </w:rPr>
        <w:t>11</w:t>
      </w:r>
      <w:r w:rsidRPr="008C0B68">
        <w:t>(4), 921-958.</w:t>
      </w:r>
    </w:p>
    <w:p w14:paraId="34E11361" w14:textId="77777777" w:rsidR="00490FD7" w:rsidRDefault="00E46432" w:rsidP="00E70EB6">
      <w:pPr>
        <w:spacing w:before="200" w:line="276" w:lineRule="auto"/>
        <w:ind w:left="380" w:right="343"/>
      </w:pPr>
      <w:proofErr w:type="spellStart"/>
      <w:r>
        <w:t>Naidenova</w:t>
      </w:r>
      <w:proofErr w:type="spellEnd"/>
      <w:r>
        <w:t>,</w:t>
      </w:r>
      <w:r>
        <w:rPr>
          <w:spacing w:val="-8"/>
        </w:rPr>
        <w:t xml:space="preserve"> </w:t>
      </w:r>
      <w:r>
        <w:t>I.,</w:t>
      </w:r>
      <w:r>
        <w:rPr>
          <w:spacing w:val="-8"/>
        </w:rPr>
        <w:t xml:space="preserve"> </w:t>
      </w:r>
      <w:proofErr w:type="spellStart"/>
      <w:r>
        <w:t>Parshakov</w:t>
      </w:r>
      <w:proofErr w:type="spellEnd"/>
      <w:r>
        <w:t>,</w:t>
      </w:r>
      <w:r>
        <w:rPr>
          <w:spacing w:val="-8"/>
        </w:rPr>
        <w:t xml:space="preserve"> </w:t>
      </w:r>
      <w:r>
        <w:t>P.,</w:t>
      </w:r>
      <w:r>
        <w:rPr>
          <w:spacing w:val="-8"/>
        </w:rPr>
        <w:t xml:space="preserve"> </w:t>
      </w:r>
      <w:r>
        <w:t>&amp;</w:t>
      </w:r>
      <w:r>
        <w:rPr>
          <w:spacing w:val="-8"/>
        </w:rPr>
        <w:t xml:space="preserve"> </w:t>
      </w:r>
      <w:r>
        <w:t>Suvorov,</w:t>
      </w:r>
      <w:r>
        <w:rPr>
          <w:spacing w:val="-8"/>
        </w:rPr>
        <w:t xml:space="preserve"> </w:t>
      </w:r>
      <w:r>
        <w:t>S.</w:t>
      </w:r>
      <w:r>
        <w:rPr>
          <w:spacing w:val="-8"/>
        </w:rPr>
        <w:t xml:space="preserve"> </w:t>
      </w:r>
      <w:r>
        <w:t>(2022).</w:t>
      </w:r>
      <w:r>
        <w:rPr>
          <w:spacing w:val="-8"/>
        </w:rPr>
        <w:t xml:space="preserve"> </w:t>
      </w:r>
      <w:r>
        <w:t>Air</w:t>
      </w:r>
      <w:r>
        <w:rPr>
          <w:spacing w:val="-8"/>
        </w:rPr>
        <w:t xml:space="preserve"> </w:t>
      </w:r>
      <w:r>
        <w:t>pollution</w:t>
      </w:r>
      <w:r>
        <w:rPr>
          <w:spacing w:val="-8"/>
        </w:rPr>
        <w:t xml:space="preserve"> </w:t>
      </w:r>
      <w:r>
        <w:t>and</w:t>
      </w:r>
      <w:r>
        <w:rPr>
          <w:spacing w:val="-8"/>
        </w:rPr>
        <w:t xml:space="preserve"> </w:t>
      </w:r>
      <w:r>
        <w:t>individual</w:t>
      </w:r>
      <w:r>
        <w:rPr>
          <w:spacing w:val="-8"/>
        </w:rPr>
        <w:t xml:space="preserve"> </w:t>
      </w:r>
      <w:r>
        <w:t>productivity:</w:t>
      </w:r>
      <w:r>
        <w:rPr>
          <w:spacing w:val="-8"/>
        </w:rPr>
        <w:t xml:space="preserve"> </w:t>
      </w:r>
      <w:r>
        <w:t>Evidence from the Ironman Triathlon results. Economics &amp; Human Biology, 47, 101159.</w:t>
      </w:r>
    </w:p>
    <w:p w14:paraId="39B14A0A" w14:textId="77777777" w:rsidR="00490FD7" w:rsidRDefault="00E46432" w:rsidP="00E70EB6">
      <w:pPr>
        <w:spacing w:before="200" w:line="276" w:lineRule="auto"/>
        <w:ind w:left="380" w:right="932"/>
      </w:pPr>
      <w:proofErr w:type="spellStart"/>
      <w:r>
        <w:t>Neidell</w:t>
      </w:r>
      <w:proofErr w:type="spellEnd"/>
      <w:r>
        <w:t>,</w:t>
      </w:r>
      <w:r>
        <w:rPr>
          <w:spacing w:val="-3"/>
        </w:rPr>
        <w:t xml:space="preserve"> </w:t>
      </w:r>
      <w:r>
        <w:t>M</w:t>
      </w:r>
      <w:r>
        <w:rPr>
          <w:spacing w:val="-3"/>
        </w:rPr>
        <w:t xml:space="preserve"> </w:t>
      </w:r>
      <w:r>
        <w:t>&amp;</w:t>
      </w:r>
      <w:r>
        <w:rPr>
          <w:spacing w:val="-3"/>
        </w:rPr>
        <w:t xml:space="preserve"> </w:t>
      </w:r>
      <w:r>
        <w:t>Pestel,</w:t>
      </w:r>
      <w:r>
        <w:rPr>
          <w:spacing w:val="-3"/>
        </w:rPr>
        <w:t xml:space="preserve"> </w:t>
      </w:r>
      <w:r>
        <w:t>N.</w:t>
      </w:r>
      <w:r>
        <w:rPr>
          <w:spacing w:val="-3"/>
        </w:rPr>
        <w:t xml:space="preserve"> </w:t>
      </w:r>
      <w:r>
        <w:t>(2023).</w:t>
      </w:r>
      <w:r>
        <w:rPr>
          <w:spacing w:val="-3"/>
        </w:rPr>
        <w:t xml:space="preserve"> </w:t>
      </w:r>
      <w:r>
        <w:t>Air</w:t>
      </w:r>
      <w:r>
        <w:rPr>
          <w:spacing w:val="-3"/>
        </w:rPr>
        <w:t xml:space="preserve"> </w:t>
      </w:r>
      <w:r>
        <w:t>pollution</w:t>
      </w:r>
      <w:r>
        <w:rPr>
          <w:spacing w:val="-3"/>
        </w:rPr>
        <w:t xml:space="preserve"> </w:t>
      </w:r>
      <w:r>
        <w:t>and</w:t>
      </w:r>
      <w:r>
        <w:rPr>
          <w:spacing w:val="-3"/>
        </w:rPr>
        <w:t xml:space="preserve"> </w:t>
      </w:r>
      <w:r>
        <w:t>worker</w:t>
      </w:r>
      <w:r>
        <w:rPr>
          <w:spacing w:val="-3"/>
        </w:rPr>
        <w:t xml:space="preserve"> </w:t>
      </w:r>
      <w:r>
        <w:t>productivity</w:t>
      </w:r>
      <w:r>
        <w:rPr>
          <w:spacing w:val="-3"/>
        </w:rPr>
        <w:t xml:space="preserve"> </w:t>
      </w:r>
      <w:r>
        <w:t>Higher</w:t>
      </w:r>
      <w:r>
        <w:rPr>
          <w:spacing w:val="-3"/>
        </w:rPr>
        <w:t xml:space="preserve"> </w:t>
      </w:r>
      <w:r>
        <w:t>levels</w:t>
      </w:r>
      <w:r>
        <w:rPr>
          <w:spacing w:val="-3"/>
        </w:rPr>
        <w:t xml:space="preserve"> </w:t>
      </w:r>
      <w:r>
        <w:t>of</w:t>
      </w:r>
      <w:r>
        <w:rPr>
          <w:spacing w:val="-3"/>
        </w:rPr>
        <w:t xml:space="preserve"> </w:t>
      </w:r>
      <w:r>
        <w:t>air</w:t>
      </w:r>
      <w:r>
        <w:rPr>
          <w:spacing w:val="-3"/>
        </w:rPr>
        <w:t xml:space="preserve"> </w:t>
      </w:r>
      <w:r>
        <w:t>pollution reduce worker productivity, even when air quality is generally low. IZA World of Labor.</w:t>
      </w:r>
    </w:p>
    <w:p w14:paraId="61724300" w14:textId="77777777" w:rsidR="00490FD7" w:rsidRDefault="00E46432" w:rsidP="00E70EB6">
      <w:pPr>
        <w:spacing w:before="196" w:line="264" w:lineRule="auto"/>
        <w:ind w:left="380" w:right="932"/>
      </w:pPr>
      <w:r>
        <w:t>Sarmiento, L. (2022). Air pollution and the productivity of high</w:t>
      </w:r>
      <w:r>
        <w:rPr>
          <w:rFonts w:ascii="Calibri" w:hAnsi="Calibri"/>
        </w:rPr>
        <w:t>‐</w:t>
      </w:r>
      <w:r>
        <w:t>skill labor: evidence from court hearings. The Scandinavian Journal of Economics, 124(1), 301-332.</w:t>
      </w:r>
    </w:p>
    <w:p w14:paraId="77814597" w14:textId="77777777" w:rsidR="00490FD7" w:rsidRDefault="00E46432" w:rsidP="00E70EB6">
      <w:pPr>
        <w:spacing w:before="212" w:line="276" w:lineRule="auto"/>
        <w:ind w:left="380" w:right="932"/>
      </w:pPr>
      <w:r>
        <w:t>Sarmiento,</w:t>
      </w:r>
      <w:r>
        <w:rPr>
          <w:spacing w:val="-5"/>
        </w:rPr>
        <w:t xml:space="preserve"> </w:t>
      </w:r>
      <w:r>
        <w:t>L.,</w:t>
      </w:r>
      <w:r>
        <w:rPr>
          <w:spacing w:val="-5"/>
        </w:rPr>
        <w:t xml:space="preserve"> </w:t>
      </w:r>
      <w:r>
        <w:t>&amp;</w:t>
      </w:r>
      <w:r>
        <w:rPr>
          <w:spacing w:val="-5"/>
        </w:rPr>
        <w:t xml:space="preserve"> </w:t>
      </w:r>
      <w:r>
        <w:t>Nowakowski,</w:t>
      </w:r>
      <w:r>
        <w:rPr>
          <w:spacing w:val="-5"/>
        </w:rPr>
        <w:t xml:space="preserve"> </w:t>
      </w:r>
      <w:r>
        <w:t>A.</w:t>
      </w:r>
      <w:r>
        <w:rPr>
          <w:spacing w:val="-5"/>
        </w:rPr>
        <w:t xml:space="preserve"> </w:t>
      </w:r>
      <w:r>
        <w:t>(2023).</w:t>
      </w:r>
      <w:r>
        <w:rPr>
          <w:spacing w:val="-5"/>
        </w:rPr>
        <w:t xml:space="preserve"> </w:t>
      </w:r>
      <w:r>
        <w:t>Court</w:t>
      </w:r>
      <w:r>
        <w:rPr>
          <w:spacing w:val="-5"/>
        </w:rPr>
        <w:t xml:space="preserve"> </w:t>
      </w:r>
      <w:r>
        <w:t>Decisions</w:t>
      </w:r>
      <w:r>
        <w:rPr>
          <w:spacing w:val="-5"/>
        </w:rPr>
        <w:t xml:space="preserve"> </w:t>
      </w:r>
      <w:r>
        <w:t>and</w:t>
      </w:r>
      <w:r>
        <w:rPr>
          <w:spacing w:val="-5"/>
        </w:rPr>
        <w:t xml:space="preserve"> </w:t>
      </w:r>
      <w:r>
        <w:t>Air</w:t>
      </w:r>
      <w:r>
        <w:rPr>
          <w:spacing w:val="-5"/>
        </w:rPr>
        <w:t xml:space="preserve"> </w:t>
      </w:r>
      <w:r>
        <w:t>Pollution:</w:t>
      </w:r>
      <w:r>
        <w:rPr>
          <w:spacing w:val="-5"/>
        </w:rPr>
        <w:t xml:space="preserve"> </w:t>
      </w:r>
      <w:r>
        <w:t>Evidence</w:t>
      </w:r>
      <w:r>
        <w:rPr>
          <w:spacing w:val="-5"/>
        </w:rPr>
        <w:t xml:space="preserve"> </w:t>
      </w:r>
      <w:r>
        <w:t>from</w:t>
      </w:r>
      <w:r>
        <w:rPr>
          <w:spacing w:val="-5"/>
        </w:rPr>
        <w:t xml:space="preserve"> </w:t>
      </w:r>
      <w:r>
        <w:t>Ten Million Penal Cases in India. Environmental and Resource Economics, 86(3), 605-644.</w:t>
      </w:r>
    </w:p>
    <w:p w14:paraId="600EDF39" w14:textId="2829AC5C" w:rsidR="00490FD7" w:rsidRDefault="00E46432" w:rsidP="00E70EB6">
      <w:pPr>
        <w:spacing w:before="200" w:after="240" w:line="276" w:lineRule="auto"/>
        <w:ind w:left="380" w:right="810"/>
      </w:pPr>
      <w:r>
        <w:t>Singh,</w:t>
      </w:r>
      <w:r>
        <w:rPr>
          <w:spacing w:val="-4"/>
        </w:rPr>
        <w:t xml:space="preserve"> </w:t>
      </w:r>
      <w:r>
        <w:t>D.,</w:t>
      </w:r>
      <w:r>
        <w:rPr>
          <w:spacing w:val="-4"/>
        </w:rPr>
        <w:t xml:space="preserve"> </w:t>
      </w:r>
      <w:r>
        <w:t>Gupta,</w:t>
      </w:r>
      <w:r>
        <w:rPr>
          <w:spacing w:val="-4"/>
        </w:rPr>
        <w:t xml:space="preserve"> </w:t>
      </w:r>
      <w:r>
        <w:t>I.,</w:t>
      </w:r>
      <w:r>
        <w:rPr>
          <w:spacing w:val="-4"/>
        </w:rPr>
        <w:t xml:space="preserve"> </w:t>
      </w:r>
      <w:r>
        <w:t>&amp;</w:t>
      </w:r>
      <w:r>
        <w:rPr>
          <w:spacing w:val="-4"/>
        </w:rPr>
        <w:t xml:space="preserve"> </w:t>
      </w:r>
      <w:r>
        <w:t>Dey,</w:t>
      </w:r>
      <w:r>
        <w:rPr>
          <w:spacing w:val="-4"/>
        </w:rPr>
        <w:t xml:space="preserve"> </w:t>
      </w:r>
      <w:r>
        <w:t>S.</w:t>
      </w:r>
      <w:r>
        <w:rPr>
          <w:spacing w:val="-4"/>
        </w:rPr>
        <w:t xml:space="preserve"> </w:t>
      </w:r>
      <w:r>
        <w:t>(2022).</w:t>
      </w:r>
      <w:r>
        <w:rPr>
          <w:spacing w:val="-4"/>
        </w:rPr>
        <w:t xml:space="preserve"> </w:t>
      </w:r>
      <w:r>
        <w:t>Effect</w:t>
      </w:r>
      <w:r>
        <w:rPr>
          <w:spacing w:val="-4"/>
        </w:rPr>
        <w:t xml:space="preserve"> </w:t>
      </w:r>
      <w:r>
        <w:t>of</w:t>
      </w:r>
      <w:r>
        <w:rPr>
          <w:spacing w:val="-4"/>
        </w:rPr>
        <w:t xml:space="preserve"> </w:t>
      </w:r>
      <w:r>
        <w:t>Air</w:t>
      </w:r>
      <w:r>
        <w:rPr>
          <w:spacing w:val="-4"/>
        </w:rPr>
        <w:t xml:space="preserve"> </w:t>
      </w:r>
      <w:r>
        <w:t>Pollution</w:t>
      </w:r>
      <w:r>
        <w:rPr>
          <w:spacing w:val="-4"/>
        </w:rPr>
        <w:t xml:space="preserve"> </w:t>
      </w:r>
      <w:r>
        <w:t>on</w:t>
      </w:r>
      <w:r>
        <w:rPr>
          <w:spacing w:val="-4"/>
        </w:rPr>
        <w:t xml:space="preserve"> </w:t>
      </w:r>
      <w:r>
        <w:t>Cognitive</w:t>
      </w:r>
      <w:r>
        <w:rPr>
          <w:spacing w:val="-4"/>
        </w:rPr>
        <w:t xml:space="preserve"> </w:t>
      </w:r>
      <w:r>
        <w:t>Performance</w:t>
      </w:r>
      <w:r>
        <w:rPr>
          <w:spacing w:val="-4"/>
        </w:rPr>
        <w:t xml:space="preserve"> </w:t>
      </w:r>
      <w:r>
        <w:t>in</w:t>
      </w:r>
      <w:r>
        <w:rPr>
          <w:spacing w:val="-4"/>
        </w:rPr>
        <w:t xml:space="preserve"> </w:t>
      </w:r>
      <w:r>
        <w:t>India</w:t>
      </w:r>
      <w:r>
        <w:rPr>
          <w:spacing w:val="-4"/>
        </w:rPr>
        <w:t xml:space="preserve"> </w:t>
      </w:r>
      <w:r>
        <w:t>(No. 452). Institute of Economic Growth.</w:t>
      </w:r>
    </w:p>
    <w:p w14:paraId="71387F92" w14:textId="77777777" w:rsidR="00E70EB6" w:rsidRDefault="00E70EB6" w:rsidP="00E70EB6">
      <w:pPr>
        <w:spacing w:line="276" w:lineRule="auto"/>
        <w:ind w:left="426"/>
      </w:pPr>
      <w:proofErr w:type="spellStart"/>
      <w:r w:rsidRPr="00E70EB6">
        <w:lastRenderedPageBreak/>
        <w:t>Zivin</w:t>
      </w:r>
      <w:proofErr w:type="spellEnd"/>
      <w:r w:rsidRPr="00E70EB6">
        <w:t xml:space="preserve">, J. G., &amp; </w:t>
      </w:r>
      <w:proofErr w:type="spellStart"/>
      <w:r w:rsidRPr="00E70EB6">
        <w:t>Neidell</w:t>
      </w:r>
      <w:proofErr w:type="spellEnd"/>
      <w:r w:rsidRPr="00E70EB6">
        <w:t>, M. (2012). The impact of pollution on worker productivity. American Economic Review, 102(7),3652-3673.</w:t>
      </w:r>
    </w:p>
    <w:p w14:paraId="00B6AB4E" w14:textId="77777777" w:rsidR="00E70EB6" w:rsidRDefault="00E70EB6" w:rsidP="00E70EB6">
      <w:pPr>
        <w:spacing w:line="276" w:lineRule="auto"/>
        <w:ind w:left="426"/>
      </w:pPr>
    </w:p>
    <w:p w14:paraId="373B8D66" w14:textId="77777777" w:rsidR="00490FD7" w:rsidRDefault="00490FD7" w:rsidP="00973B06">
      <w:pPr>
        <w:pStyle w:val="Heading2"/>
        <w:ind w:left="0"/>
        <w:rPr>
          <w:b w:val="0"/>
          <w:sz w:val="5"/>
        </w:rPr>
      </w:pPr>
    </w:p>
    <w:sectPr w:rsidR="00490FD7">
      <w:pgSz w:w="12240" w:h="15840"/>
      <w:pgMar w:top="1460" w:right="820" w:bottom="1020" w:left="1240" w:header="652" w:footer="8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A131CB" w14:textId="77777777" w:rsidR="00D50196" w:rsidRDefault="00D50196">
      <w:r>
        <w:separator/>
      </w:r>
    </w:p>
  </w:endnote>
  <w:endnote w:type="continuationSeparator" w:id="0">
    <w:p w14:paraId="4685B0CE" w14:textId="77777777" w:rsidR="00D50196" w:rsidRDefault="00D50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ptos Narrow">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8EB211" w14:textId="77777777" w:rsidR="007F1B72" w:rsidRPr="007F1B72" w:rsidRDefault="007F1B72">
    <w:pPr>
      <w:pStyle w:val="Footer"/>
      <w:jc w:val="center"/>
    </w:pPr>
    <w:r w:rsidRPr="007F1B72">
      <w:t xml:space="preserve">Page </w:t>
    </w:r>
    <w:r w:rsidRPr="007F1B72">
      <w:fldChar w:fldCharType="begin"/>
    </w:r>
    <w:r w:rsidRPr="007F1B72">
      <w:instrText xml:space="preserve"> PAGE  \* Arabic  \* MERGEFORMAT </w:instrText>
    </w:r>
    <w:r w:rsidRPr="007F1B72">
      <w:fldChar w:fldCharType="separate"/>
    </w:r>
    <w:r w:rsidRPr="007F1B72">
      <w:rPr>
        <w:noProof/>
      </w:rPr>
      <w:t>2</w:t>
    </w:r>
    <w:r w:rsidRPr="007F1B72">
      <w:fldChar w:fldCharType="end"/>
    </w:r>
    <w:r w:rsidRPr="007F1B72">
      <w:t xml:space="preserve"> of </w:t>
    </w:r>
    <w:fldSimple w:instr=" NUMPAGES  \* Arabic  \* MERGEFORMAT ">
      <w:r w:rsidRPr="007F1B72">
        <w:rPr>
          <w:noProof/>
        </w:rPr>
        <w:t>2</w:t>
      </w:r>
    </w:fldSimple>
  </w:p>
  <w:p w14:paraId="04410975" w14:textId="5BE5A8EF" w:rsidR="00490FD7" w:rsidRDefault="00490FD7">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E8B2FC" w14:textId="77777777" w:rsidR="00D50196" w:rsidRDefault="00D50196">
      <w:r>
        <w:separator/>
      </w:r>
    </w:p>
  </w:footnote>
  <w:footnote w:type="continuationSeparator" w:id="0">
    <w:p w14:paraId="23361454" w14:textId="77777777" w:rsidR="00D50196" w:rsidRDefault="00D50196">
      <w:r>
        <w:continuationSeparator/>
      </w:r>
    </w:p>
  </w:footnote>
  <w:footnote w:id="1">
    <w:p w14:paraId="7AD28DCD" w14:textId="77777777" w:rsidR="00AA5CFD" w:rsidRPr="00ED364F" w:rsidRDefault="00AA5CFD" w:rsidP="00AA5CFD">
      <w:pPr>
        <w:pStyle w:val="FootnoteText"/>
        <w:rPr>
          <w:lang w:val="en-IN"/>
        </w:rPr>
      </w:pPr>
      <w:r>
        <w:rPr>
          <w:rStyle w:val="FootnoteReference"/>
        </w:rPr>
        <w:footnoteRef/>
      </w:r>
      <w:r>
        <w:t xml:space="preserve"> </w:t>
      </w:r>
      <w:r>
        <w:rPr>
          <w:lang w:val="en-IN"/>
        </w:rPr>
        <w:t>Of course, it is possible that weather affects decision making throughout the length of the case. We are working on the appropriate specifications that will capture this aspect.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CB741" w14:textId="77777777" w:rsidR="00490FD7" w:rsidRDefault="00E46432">
    <w:pPr>
      <w:pStyle w:val="BodyText"/>
      <w:spacing w:line="14" w:lineRule="auto"/>
      <w:rPr>
        <w:sz w:val="20"/>
      </w:rPr>
    </w:pPr>
    <w:r>
      <w:rPr>
        <w:noProof/>
      </w:rPr>
      <w:drawing>
        <wp:anchor distT="0" distB="0" distL="0" distR="0" simplePos="0" relativeHeight="251655168" behindDoc="1" locked="0" layoutInCell="1" allowOverlap="1" wp14:anchorId="19035432" wp14:editId="7452B7B4">
          <wp:simplePos x="0" y="0"/>
          <wp:positionH relativeFrom="page">
            <wp:posOffset>6538303</wp:posOffset>
          </wp:positionH>
          <wp:positionV relativeFrom="page">
            <wp:posOffset>413799</wp:posOffset>
          </wp:positionV>
          <wp:extent cx="345600" cy="40320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 cstate="print"/>
                  <a:stretch>
                    <a:fillRect/>
                  </a:stretch>
                </pic:blipFill>
                <pic:spPr>
                  <a:xfrm>
                    <a:off x="0" y="0"/>
                    <a:ext cx="345600" cy="4032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0" distR="0" simplePos="0" relativeHeight="251657216" behindDoc="1" locked="0" layoutInCell="1" allowOverlap="1" wp14:anchorId="35429EAD" wp14:editId="57CE2A23">
              <wp:simplePos x="0" y="0"/>
              <wp:positionH relativeFrom="page">
                <wp:posOffset>4538457</wp:posOffset>
              </wp:positionH>
              <wp:positionV relativeFrom="page">
                <wp:posOffset>449895</wp:posOffset>
              </wp:positionV>
              <wp:extent cx="1901825" cy="502284"/>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1825" cy="502284"/>
                      </a:xfrm>
                      <a:prstGeom prst="rect">
                        <a:avLst/>
                      </a:prstGeom>
                    </wps:spPr>
                    <wps:txbx>
                      <w:txbxContent>
                        <w:p w14:paraId="0217B121" w14:textId="77777777" w:rsidR="00490FD7" w:rsidRDefault="00E46432">
                          <w:pPr>
                            <w:spacing w:before="11"/>
                            <w:ind w:right="18"/>
                            <w:jc w:val="right"/>
                            <w:rPr>
                              <w:sz w:val="20"/>
                            </w:rPr>
                          </w:pPr>
                          <w:r>
                            <w:rPr>
                              <w:sz w:val="20"/>
                            </w:rPr>
                            <w:t>Economics</w:t>
                          </w:r>
                          <w:r>
                            <w:rPr>
                              <w:spacing w:val="-6"/>
                              <w:sz w:val="20"/>
                            </w:rPr>
                            <w:t xml:space="preserve"> </w:t>
                          </w:r>
                          <w:r>
                            <w:rPr>
                              <w:sz w:val="20"/>
                            </w:rPr>
                            <w:t>and</w:t>
                          </w:r>
                          <w:r>
                            <w:rPr>
                              <w:spacing w:val="-6"/>
                              <w:sz w:val="20"/>
                            </w:rPr>
                            <w:t xml:space="preserve"> </w:t>
                          </w:r>
                          <w:r>
                            <w:rPr>
                              <w:sz w:val="20"/>
                            </w:rPr>
                            <w:t>Planning</w:t>
                          </w:r>
                          <w:r>
                            <w:rPr>
                              <w:spacing w:val="-6"/>
                              <w:sz w:val="20"/>
                            </w:rPr>
                            <w:t xml:space="preserve"> </w:t>
                          </w:r>
                          <w:r>
                            <w:rPr>
                              <w:sz w:val="20"/>
                            </w:rPr>
                            <w:t>Unit</w:t>
                          </w:r>
                          <w:r>
                            <w:rPr>
                              <w:spacing w:val="-6"/>
                              <w:sz w:val="20"/>
                            </w:rPr>
                            <w:t xml:space="preserve"> </w:t>
                          </w:r>
                          <w:r>
                            <w:rPr>
                              <w:spacing w:val="-2"/>
                              <w:sz w:val="20"/>
                            </w:rPr>
                            <w:t>(EPU)</w:t>
                          </w:r>
                        </w:p>
                        <w:p w14:paraId="61F2E02E" w14:textId="56E3BD9D" w:rsidR="00490FD7" w:rsidRDefault="00E46432">
                          <w:pPr>
                            <w:spacing w:before="35"/>
                            <w:ind w:right="18"/>
                            <w:jc w:val="right"/>
                            <w:rPr>
                              <w:sz w:val="20"/>
                            </w:rPr>
                          </w:pPr>
                          <w:r>
                            <w:rPr>
                              <w:sz w:val="20"/>
                            </w:rPr>
                            <w:t>Indian</w:t>
                          </w:r>
                          <w:r>
                            <w:rPr>
                              <w:spacing w:val="-9"/>
                              <w:sz w:val="20"/>
                            </w:rPr>
                            <w:t xml:space="preserve"> </w:t>
                          </w:r>
                          <w:r>
                            <w:rPr>
                              <w:sz w:val="20"/>
                            </w:rPr>
                            <w:t>Statistical</w:t>
                          </w:r>
                          <w:r>
                            <w:rPr>
                              <w:spacing w:val="-8"/>
                              <w:sz w:val="20"/>
                            </w:rPr>
                            <w:t xml:space="preserve"> </w:t>
                          </w:r>
                          <w:r>
                            <w:rPr>
                              <w:spacing w:val="-2"/>
                              <w:sz w:val="20"/>
                            </w:rPr>
                            <w:t>Institute</w:t>
                          </w:r>
                          <w:r w:rsidR="007F1B72">
                            <w:rPr>
                              <w:spacing w:val="-2"/>
                              <w:sz w:val="20"/>
                            </w:rPr>
                            <w:t xml:space="preserve">, Delhi </w:t>
                          </w:r>
                        </w:p>
                      </w:txbxContent>
                    </wps:txbx>
                    <wps:bodyPr wrap="square" lIns="0" tIns="0" rIns="0" bIns="0" rtlCol="0">
                      <a:noAutofit/>
                    </wps:bodyPr>
                  </wps:wsp>
                </a:graphicData>
              </a:graphic>
            </wp:anchor>
          </w:drawing>
        </mc:Choice>
        <mc:Fallback>
          <w:pict>
            <v:shapetype w14:anchorId="35429EAD" id="_x0000_t202" coordsize="21600,21600" o:spt="202" path="m,l,21600r21600,l21600,xe">
              <v:stroke joinstyle="miter"/>
              <v:path gradientshapeok="t" o:connecttype="rect"/>
            </v:shapetype>
            <v:shape id="Textbox 5" o:spid="_x0000_s1026" type="#_x0000_t202" style="position:absolute;margin-left:357.35pt;margin-top:35.4pt;width:149.75pt;height:39.55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" filled="f" stroked="f">
              <v:textbox inset="0,0,0,0">
                <w:txbxContent>
                  <w:p w14:paraId="0217B121" w14:textId="77777777" w:rsidR="00490FD7" w:rsidRDefault="00E46432">
                    <w:pPr>
                      <w:spacing w:before="11"/>
                      <w:ind w:right="18"/>
                      <w:jc w:val="right"/>
                      <w:rPr>
                        <w:sz w:val="20"/>
                      </w:rPr>
                    </w:pPr>
                    <w:r>
                      <w:rPr>
                        <w:sz w:val="20"/>
                      </w:rPr>
                      <w:t>Economics</w:t>
                    </w:r>
                    <w:r>
                      <w:rPr>
                        <w:spacing w:val="-6"/>
                        <w:sz w:val="20"/>
                      </w:rPr>
                      <w:t xml:space="preserve"> </w:t>
                    </w:r>
                    <w:r>
                      <w:rPr>
                        <w:sz w:val="20"/>
                      </w:rPr>
                      <w:t>and</w:t>
                    </w:r>
                    <w:r>
                      <w:rPr>
                        <w:spacing w:val="-6"/>
                        <w:sz w:val="20"/>
                      </w:rPr>
                      <w:t xml:space="preserve"> </w:t>
                    </w:r>
                    <w:r>
                      <w:rPr>
                        <w:sz w:val="20"/>
                      </w:rPr>
                      <w:t>Planning</w:t>
                    </w:r>
                    <w:r>
                      <w:rPr>
                        <w:spacing w:val="-6"/>
                        <w:sz w:val="20"/>
                      </w:rPr>
                      <w:t xml:space="preserve"> </w:t>
                    </w:r>
                    <w:r>
                      <w:rPr>
                        <w:sz w:val="20"/>
                      </w:rPr>
                      <w:t>Unit</w:t>
                    </w:r>
                    <w:r>
                      <w:rPr>
                        <w:spacing w:val="-6"/>
                        <w:sz w:val="20"/>
                      </w:rPr>
                      <w:t xml:space="preserve"> </w:t>
                    </w:r>
                    <w:r>
                      <w:rPr>
                        <w:spacing w:val="-2"/>
                        <w:sz w:val="20"/>
                      </w:rPr>
                      <w:t>(EPU)</w:t>
                    </w:r>
                  </w:p>
                  <w:p w14:paraId="61F2E02E" w14:textId="56E3BD9D" w:rsidR="00490FD7" w:rsidRDefault="00E46432">
                    <w:pPr>
                      <w:spacing w:before="35"/>
                      <w:ind w:right="18"/>
                      <w:jc w:val="right"/>
                      <w:rPr>
                        <w:sz w:val="20"/>
                      </w:rPr>
                    </w:pPr>
                    <w:r>
                      <w:rPr>
                        <w:sz w:val="20"/>
                      </w:rPr>
                      <w:t>Indian</w:t>
                    </w:r>
                    <w:r>
                      <w:rPr>
                        <w:spacing w:val="-9"/>
                        <w:sz w:val="20"/>
                      </w:rPr>
                      <w:t xml:space="preserve"> </w:t>
                    </w:r>
                    <w:r>
                      <w:rPr>
                        <w:sz w:val="20"/>
                      </w:rPr>
                      <w:t>Statistical</w:t>
                    </w:r>
                    <w:r>
                      <w:rPr>
                        <w:spacing w:val="-8"/>
                        <w:sz w:val="20"/>
                      </w:rPr>
                      <w:t xml:space="preserve"> </w:t>
                    </w:r>
                    <w:r>
                      <w:rPr>
                        <w:spacing w:val="-2"/>
                        <w:sz w:val="20"/>
                      </w:rPr>
                      <w:t>Institute</w:t>
                    </w:r>
                    <w:r w:rsidR="007F1B72">
                      <w:rPr>
                        <w:spacing w:val="-2"/>
                        <w:sz w:val="20"/>
                      </w:rPr>
                      <w:t xml:space="preserve">, Delhi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C6230"/>
    <w:multiLevelType w:val="hybridMultilevel"/>
    <w:tmpl w:val="6ED0A288"/>
    <w:lvl w:ilvl="0" w:tplc="D0BE8C64">
      <w:numFmt w:val="bullet"/>
      <w:lvlText w:val="-"/>
      <w:lvlJc w:val="left"/>
      <w:pPr>
        <w:ind w:left="740" w:hanging="360"/>
      </w:pPr>
      <w:rPr>
        <w:rFonts w:ascii="Times New Roman" w:eastAsia="Times New Roman" w:hAnsi="Times New Roman" w:cs="Times New Roman" w:hint="default"/>
      </w:rPr>
    </w:lvl>
    <w:lvl w:ilvl="1" w:tplc="40090003" w:tentative="1">
      <w:start w:val="1"/>
      <w:numFmt w:val="bullet"/>
      <w:lvlText w:val="o"/>
      <w:lvlJc w:val="left"/>
      <w:pPr>
        <w:ind w:left="1460" w:hanging="360"/>
      </w:pPr>
      <w:rPr>
        <w:rFonts w:ascii="Courier New" w:hAnsi="Courier New" w:cs="Courier New" w:hint="default"/>
      </w:rPr>
    </w:lvl>
    <w:lvl w:ilvl="2" w:tplc="40090005" w:tentative="1">
      <w:start w:val="1"/>
      <w:numFmt w:val="bullet"/>
      <w:lvlText w:val=""/>
      <w:lvlJc w:val="left"/>
      <w:pPr>
        <w:ind w:left="2180" w:hanging="360"/>
      </w:pPr>
      <w:rPr>
        <w:rFonts w:ascii="Wingdings" w:hAnsi="Wingdings" w:hint="default"/>
      </w:rPr>
    </w:lvl>
    <w:lvl w:ilvl="3" w:tplc="40090001" w:tentative="1">
      <w:start w:val="1"/>
      <w:numFmt w:val="bullet"/>
      <w:lvlText w:val=""/>
      <w:lvlJc w:val="left"/>
      <w:pPr>
        <w:ind w:left="2900" w:hanging="360"/>
      </w:pPr>
      <w:rPr>
        <w:rFonts w:ascii="Symbol" w:hAnsi="Symbol" w:hint="default"/>
      </w:rPr>
    </w:lvl>
    <w:lvl w:ilvl="4" w:tplc="40090003" w:tentative="1">
      <w:start w:val="1"/>
      <w:numFmt w:val="bullet"/>
      <w:lvlText w:val="o"/>
      <w:lvlJc w:val="left"/>
      <w:pPr>
        <w:ind w:left="3620" w:hanging="360"/>
      </w:pPr>
      <w:rPr>
        <w:rFonts w:ascii="Courier New" w:hAnsi="Courier New" w:cs="Courier New" w:hint="default"/>
      </w:rPr>
    </w:lvl>
    <w:lvl w:ilvl="5" w:tplc="40090005" w:tentative="1">
      <w:start w:val="1"/>
      <w:numFmt w:val="bullet"/>
      <w:lvlText w:val=""/>
      <w:lvlJc w:val="left"/>
      <w:pPr>
        <w:ind w:left="4340" w:hanging="360"/>
      </w:pPr>
      <w:rPr>
        <w:rFonts w:ascii="Wingdings" w:hAnsi="Wingdings" w:hint="default"/>
      </w:rPr>
    </w:lvl>
    <w:lvl w:ilvl="6" w:tplc="40090001" w:tentative="1">
      <w:start w:val="1"/>
      <w:numFmt w:val="bullet"/>
      <w:lvlText w:val=""/>
      <w:lvlJc w:val="left"/>
      <w:pPr>
        <w:ind w:left="5060" w:hanging="360"/>
      </w:pPr>
      <w:rPr>
        <w:rFonts w:ascii="Symbol" w:hAnsi="Symbol" w:hint="default"/>
      </w:rPr>
    </w:lvl>
    <w:lvl w:ilvl="7" w:tplc="40090003" w:tentative="1">
      <w:start w:val="1"/>
      <w:numFmt w:val="bullet"/>
      <w:lvlText w:val="o"/>
      <w:lvlJc w:val="left"/>
      <w:pPr>
        <w:ind w:left="5780" w:hanging="360"/>
      </w:pPr>
      <w:rPr>
        <w:rFonts w:ascii="Courier New" w:hAnsi="Courier New" w:cs="Courier New" w:hint="default"/>
      </w:rPr>
    </w:lvl>
    <w:lvl w:ilvl="8" w:tplc="40090005" w:tentative="1">
      <w:start w:val="1"/>
      <w:numFmt w:val="bullet"/>
      <w:lvlText w:val=""/>
      <w:lvlJc w:val="left"/>
      <w:pPr>
        <w:ind w:left="6500" w:hanging="360"/>
      </w:pPr>
      <w:rPr>
        <w:rFonts w:ascii="Wingdings" w:hAnsi="Wingdings" w:hint="default"/>
      </w:rPr>
    </w:lvl>
  </w:abstractNum>
  <w:abstractNum w:abstractNumId="1" w15:restartNumberingAfterBreak="0">
    <w:nsid w:val="0DAF2212"/>
    <w:multiLevelType w:val="multilevel"/>
    <w:tmpl w:val="81BC7840"/>
    <w:lvl w:ilvl="0">
      <w:start w:val="6"/>
      <w:numFmt w:val="decimal"/>
      <w:lvlText w:val="%1"/>
      <w:lvlJc w:val="left"/>
      <w:pPr>
        <w:ind w:left="869" w:hanging="490"/>
      </w:pPr>
      <w:rPr>
        <w:rFonts w:hint="default"/>
        <w:lang w:val="en-US" w:eastAsia="en-US" w:bidi="ar-SA"/>
      </w:rPr>
    </w:lvl>
    <w:lvl w:ilvl="1">
      <w:start w:val="1"/>
      <w:numFmt w:val="decimal"/>
      <w:lvlText w:val="%1.%2."/>
      <w:lvlJc w:val="left"/>
      <w:pPr>
        <w:ind w:left="869" w:hanging="490"/>
      </w:pPr>
      <w:rPr>
        <w:rFonts w:ascii="Times New Roman" w:eastAsia="Times New Roman" w:hAnsi="Times New Roman" w:cs="Times New Roman" w:hint="default"/>
        <w:b/>
        <w:bCs/>
        <w:i w:val="0"/>
        <w:iCs w:val="0"/>
        <w:spacing w:val="-1"/>
        <w:w w:val="100"/>
        <w:sz w:val="28"/>
        <w:szCs w:val="28"/>
        <w:lang w:val="en-US" w:eastAsia="en-US" w:bidi="ar-SA"/>
      </w:rPr>
    </w:lvl>
    <w:lvl w:ilvl="2">
      <w:numFmt w:val="bullet"/>
      <w:lvlText w:val="•"/>
      <w:lvlJc w:val="left"/>
      <w:pPr>
        <w:ind w:left="2724" w:hanging="490"/>
      </w:pPr>
      <w:rPr>
        <w:rFonts w:hint="default"/>
        <w:lang w:val="en-US" w:eastAsia="en-US" w:bidi="ar-SA"/>
      </w:rPr>
    </w:lvl>
    <w:lvl w:ilvl="3">
      <w:numFmt w:val="bullet"/>
      <w:lvlText w:val="•"/>
      <w:lvlJc w:val="left"/>
      <w:pPr>
        <w:ind w:left="3656" w:hanging="490"/>
      </w:pPr>
      <w:rPr>
        <w:rFonts w:hint="default"/>
        <w:lang w:val="en-US" w:eastAsia="en-US" w:bidi="ar-SA"/>
      </w:rPr>
    </w:lvl>
    <w:lvl w:ilvl="4">
      <w:numFmt w:val="bullet"/>
      <w:lvlText w:val="•"/>
      <w:lvlJc w:val="left"/>
      <w:pPr>
        <w:ind w:left="4588" w:hanging="490"/>
      </w:pPr>
      <w:rPr>
        <w:rFonts w:hint="default"/>
        <w:lang w:val="en-US" w:eastAsia="en-US" w:bidi="ar-SA"/>
      </w:rPr>
    </w:lvl>
    <w:lvl w:ilvl="5">
      <w:numFmt w:val="bullet"/>
      <w:lvlText w:val="•"/>
      <w:lvlJc w:val="left"/>
      <w:pPr>
        <w:ind w:left="5520" w:hanging="490"/>
      </w:pPr>
      <w:rPr>
        <w:rFonts w:hint="default"/>
        <w:lang w:val="en-US" w:eastAsia="en-US" w:bidi="ar-SA"/>
      </w:rPr>
    </w:lvl>
    <w:lvl w:ilvl="6">
      <w:numFmt w:val="bullet"/>
      <w:lvlText w:val="•"/>
      <w:lvlJc w:val="left"/>
      <w:pPr>
        <w:ind w:left="6452" w:hanging="490"/>
      </w:pPr>
      <w:rPr>
        <w:rFonts w:hint="default"/>
        <w:lang w:val="en-US" w:eastAsia="en-US" w:bidi="ar-SA"/>
      </w:rPr>
    </w:lvl>
    <w:lvl w:ilvl="7">
      <w:numFmt w:val="bullet"/>
      <w:lvlText w:val="•"/>
      <w:lvlJc w:val="left"/>
      <w:pPr>
        <w:ind w:left="7384" w:hanging="490"/>
      </w:pPr>
      <w:rPr>
        <w:rFonts w:hint="default"/>
        <w:lang w:val="en-US" w:eastAsia="en-US" w:bidi="ar-SA"/>
      </w:rPr>
    </w:lvl>
    <w:lvl w:ilvl="8">
      <w:numFmt w:val="bullet"/>
      <w:lvlText w:val="•"/>
      <w:lvlJc w:val="left"/>
      <w:pPr>
        <w:ind w:left="8316" w:hanging="490"/>
      </w:pPr>
      <w:rPr>
        <w:rFonts w:hint="default"/>
        <w:lang w:val="en-US" w:eastAsia="en-US" w:bidi="ar-SA"/>
      </w:rPr>
    </w:lvl>
  </w:abstractNum>
  <w:abstractNum w:abstractNumId="2" w15:restartNumberingAfterBreak="0">
    <w:nsid w:val="1057075C"/>
    <w:multiLevelType w:val="hybridMultilevel"/>
    <w:tmpl w:val="EBEC3FF6"/>
    <w:lvl w:ilvl="0" w:tplc="40090001">
      <w:start w:val="1"/>
      <w:numFmt w:val="bullet"/>
      <w:lvlText w:val=""/>
      <w:lvlJc w:val="left"/>
      <w:pPr>
        <w:ind w:left="1100" w:hanging="360"/>
      </w:pPr>
      <w:rPr>
        <w:rFonts w:ascii="Symbol" w:hAnsi="Symbol" w:hint="default"/>
      </w:rPr>
    </w:lvl>
    <w:lvl w:ilvl="1" w:tplc="40090003" w:tentative="1">
      <w:start w:val="1"/>
      <w:numFmt w:val="bullet"/>
      <w:lvlText w:val="o"/>
      <w:lvlJc w:val="left"/>
      <w:pPr>
        <w:ind w:left="1820" w:hanging="360"/>
      </w:pPr>
      <w:rPr>
        <w:rFonts w:ascii="Courier New" w:hAnsi="Courier New" w:cs="Courier New" w:hint="default"/>
      </w:rPr>
    </w:lvl>
    <w:lvl w:ilvl="2" w:tplc="40090005" w:tentative="1">
      <w:start w:val="1"/>
      <w:numFmt w:val="bullet"/>
      <w:lvlText w:val=""/>
      <w:lvlJc w:val="left"/>
      <w:pPr>
        <w:ind w:left="2540" w:hanging="360"/>
      </w:pPr>
      <w:rPr>
        <w:rFonts w:ascii="Wingdings" w:hAnsi="Wingdings" w:hint="default"/>
      </w:rPr>
    </w:lvl>
    <w:lvl w:ilvl="3" w:tplc="40090001" w:tentative="1">
      <w:start w:val="1"/>
      <w:numFmt w:val="bullet"/>
      <w:lvlText w:val=""/>
      <w:lvlJc w:val="left"/>
      <w:pPr>
        <w:ind w:left="3260" w:hanging="360"/>
      </w:pPr>
      <w:rPr>
        <w:rFonts w:ascii="Symbol" w:hAnsi="Symbol" w:hint="default"/>
      </w:rPr>
    </w:lvl>
    <w:lvl w:ilvl="4" w:tplc="40090003" w:tentative="1">
      <w:start w:val="1"/>
      <w:numFmt w:val="bullet"/>
      <w:lvlText w:val="o"/>
      <w:lvlJc w:val="left"/>
      <w:pPr>
        <w:ind w:left="3980" w:hanging="360"/>
      </w:pPr>
      <w:rPr>
        <w:rFonts w:ascii="Courier New" w:hAnsi="Courier New" w:cs="Courier New" w:hint="default"/>
      </w:rPr>
    </w:lvl>
    <w:lvl w:ilvl="5" w:tplc="40090005" w:tentative="1">
      <w:start w:val="1"/>
      <w:numFmt w:val="bullet"/>
      <w:lvlText w:val=""/>
      <w:lvlJc w:val="left"/>
      <w:pPr>
        <w:ind w:left="4700" w:hanging="360"/>
      </w:pPr>
      <w:rPr>
        <w:rFonts w:ascii="Wingdings" w:hAnsi="Wingdings" w:hint="default"/>
      </w:rPr>
    </w:lvl>
    <w:lvl w:ilvl="6" w:tplc="40090001" w:tentative="1">
      <w:start w:val="1"/>
      <w:numFmt w:val="bullet"/>
      <w:lvlText w:val=""/>
      <w:lvlJc w:val="left"/>
      <w:pPr>
        <w:ind w:left="5420" w:hanging="360"/>
      </w:pPr>
      <w:rPr>
        <w:rFonts w:ascii="Symbol" w:hAnsi="Symbol" w:hint="default"/>
      </w:rPr>
    </w:lvl>
    <w:lvl w:ilvl="7" w:tplc="40090003" w:tentative="1">
      <w:start w:val="1"/>
      <w:numFmt w:val="bullet"/>
      <w:lvlText w:val="o"/>
      <w:lvlJc w:val="left"/>
      <w:pPr>
        <w:ind w:left="6140" w:hanging="360"/>
      </w:pPr>
      <w:rPr>
        <w:rFonts w:ascii="Courier New" w:hAnsi="Courier New" w:cs="Courier New" w:hint="default"/>
      </w:rPr>
    </w:lvl>
    <w:lvl w:ilvl="8" w:tplc="40090005" w:tentative="1">
      <w:start w:val="1"/>
      <w:numFmt w:val="bullet"/>
      <w:lvlText w:val=""/>
      <w:lvlJc w:val="left"/>
      <w:pPr>
        <w:ind w:left="6860" w:hanging="360"/>
      </w:pPr>
      <w:rPr>
        <w:rFonts w:ascii="Wingdings" w:hAnsi="Wingdings" w:hint="default"/>
      </w:rPr>
    </w:lvl>
  </w:abstractNum>
  <w:abstractNum w:abstractNumId="3" w15:restartNumberingAfterBreak="0">
    <w:nsid w:val="16E90DA7"/>
    <w:multiLevelType w:val="multilevel"/>
    <w:tmpl w:val="D040B938"/>
    <w:lvl w:ilvl="0">
      <w:start w:val="4"/>
      <w:numFmt w:val="decimal"/>
      <w:lvlText w:val="%1"/>
      <w:lvlJc w:val="left"/>
      <w:pPr>
        <w:ind w:left="869" w:hanging="490"/>
      </w:pPr>
      <w:rPr>
        <w:rFonts w:hint="default"/>
        <w:lang w:val="en-US" w:eastAsia="en-US" w:bidi="ar-SA"/>
      </w:rPr>
    </w:lvl>
    <w:lvl w:ilvl="1">
      <w:start w:val="1"/>
      <w:numFmt w:val="decimal"/>
      <w:lvlText w:val="%1.%2."/>
      <w:lvlJc w:val="left"/>
      <w:pPr>
        <w:ind w:left="869" w:hanging="490"/>
      </w:pPr>
      <w:rPr>
        <w:rFonts w:ascii="Times New Roman" w:eastAsia="Times New Roman" w:hAnsi="Times New Roman" w:cs="Times New Roman" w:hint="default"/>
        <w:b/>
        <w:bCs/>
        <w:i w:val="0"/>
        <w:iCs w:val="0"/>
        <w:spacing w:val="-1"/>
        <w:w w:val="100"/>
        <w:sz w:val="28"/>
        <w:szCs w:val="28"/>
        <w:lang w:val="en-US" w:eastAsia="en-US" w:bidi="ar-SA"/>
      </w:rPr>
    </w:lvl>
    <w:lvl w:ilvl="2">
      <w:numFmt w:val="bullet"/>
      <w:lvlText w:val="●"/>
      <w:lvlJc w:val="left"/>
      <w:pPr>
        <w:ind w:left="1100" w:hanging="360"/>
      </w:pPr>
      <w:rPr>
        <w:rFonts w:ascii="Arial" w:eastAsia="Arial" w:hAnsi="Arial" w:cs="Arial" w:hint="default"/>
        <w:b w:val="0"/>
        <w:bCs w:val="0"/>
        <w:i w:val="0"/>
        <w:iCs w:val="0"/>
        <w:spacing w:val="0"/>
        <w:w w:val="100"/>
        <w:sz w:val="24"/>
        <w:szCs w:val="24"/>
        <w:lang w:val="en-US" w:eastAsia="en-US" w:bidi="ar-SA"/>
      </w:rPr>
    </w:lvl>
    <w:lvl w:ilvl="3">
      <w:numFmt w:val="bullet"/>
      <w:lvlText w:val="•"/>
      <w:lvlJc w:val="left"/>
      <w:pPr>
        <w:ind w:left="3117" w:hanging="360"/>
      </w:pPr>
      <w:rPr>
        <w:rFonts w:hint="default"/>
        <w:lang w:val="en-US" w:eastAsia="en-US" w:bidi="ar-SA"/>
      </w:rPr>
    </w:lvl>
    <w:lvl w:ilvl="4">
      <w:numFmt w:val="bullet"/>
      <w:lvlText w:val="•"/>
      <w:lvlJc w:val="left"/>
      <w:pPr>
        <w:ind w:left="4126" w:hanging="360"/>
      </w:pPr>
      <w:rPr>
        <w:rFonts w:hint="default"/>
        <w:lang w:val="en-US" w:eastAsia="en-US" w:bidi="ar-SA"/>
      </w:rPr>
    </w:lvl>
    <w:lvl w:ilvl="5">
      <w:numFmt w:val="bullet"/>
      <w:lvlText w:val="•"/>
      <w:lvlJc w:val="left"/>
      <w:pPr>
        <w:ind w:left="5135" w:hanging="360"/>
      </w:pPr>
      <w:rPr>
        <w:rFonts w:hint="default"/>
        <w:lang w:val="en-US" w:eastAsia="en-US" w:bidi="ar-SA"/>
      </w:rPr>
    </w:lvl>
    <w:lvl w:ilvl="6">
      <w:numFmt w:val="bullet"/>
      <w:lvlText w:val="•"/>
      <w:lvlJc w:val="left"/>
      <w:pPr>
        <w:ind w:left="6144" w:hanging="360"/>
      </w:pPr>
      <w:rPr>
        <w:rFonts w:hint="default"/>
        <w:lang w:val="en-US" w:eastAsia="en-US" w:bidi="ar-SA"/>
      </w:rPr>
    </w:lvl>
    <w:lvl w:ilvl="7">
      <w:numFmt w:val="bullet"/>
      <w:lvlText w:val="•"/>
      <w:lvlJc w:val="left"/>
      <w:pPr>
        <w:ind w:left="7153" w:hanging="360"/>
      </w:pPr>
      <w:rPr>
        <w:rFonts w:hint="default"/>
        <w:lang w:val="en-US" w:eastAsia="en-US" w:bidi="ar-SA"/>
      </w:rPr>
    </w:lvl>
    <w:lvl w:ilvl="8">
      <w:numFmt w:val="bullet"/>
      <w:lvlText w:val="•"/>
      <w:lvlJc w:val="left"/>
      <w:pPr>
        <w:ind w:left="8162" w:hanging="360"/>
      </w:pPr>
      <w:rPr>
        <w:rFonts w:hint="default"/>
        <w:lang w:val="en-US" w:eastAsia="en-US" w:bidi="ar-SA"/>
      </w:rPr>
    </w:lvl>
  </w:abstractNum>
  <w:abstractNum w:abstractNumId="4" w15:restartNumberingAfterBreak="0">
    <w:nsid w:val="1E5D1718"/>
    <w:multiLevelType w:val="multilevel"/>
    <w:tmpl w:val="596CFCE2"/>
    <w:lvl w:ilvl="0">
      <w:start w:val="5"/>
      <w:numFmt w:val="decimal"/>
      <w:lvlText w:val="%1"/>
      <w:lvlJc w:val="left"/>
      <w:pPr>
        <w:ind w:left="869" w:hanging="490"/>
      </w:pPr>
      <w:rPr>
        <w:rFonts w:hint="default"/>
        <w:lang w:val="en-US" w:eastAsia="en-US" w:bidi="ar-SA"/>
      </w:rPr>
    </w:lvl>
    <w:lvl w:ilvl="1">
      <w:start w:val="1"/>
      <w:numFmt w:val="decimal"/>
      <w:lvlText w:val="%1.%2."/>
      <w:lvlJc w:val="left"/>
      <w:pPr>
        <w:ind w:left="869" w:hanging="490"/>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980" w:hanging="600"/>
      </w:pPr>
      <w:rPr>
        <w:rFonts w:ascii="Times New Roman" w:eastAsia="Times New Roman" w:hAnsi="Times New Roman" w:cs="Times New Roman" w:hint="default"/>
        <w:b/>
        <w:bCs/>
        <w:i w:val="0"/>
        <w:iCs w:val="0"/>
        <w:spacing w:val="0"/>
        <w:w w:val="100"/>
        <w:sz w:val="24"/>
        <w:szCs w:val="24"/>
        <w:lang w:val="en-US" w:eastAsia="en-US" w:bidi="ar-SA"/>
      </w:rPr>
    </w:lvl>
    <w:lvl w:ilvl="3">
      <w:numFmt w:val="bullet"/>
      <w:lvlText w:val="•"/>
      <w:lvlJc w:val="left"/>
      <w:pPr>
        <w:ind w:left="3024" w:hanging="600"/>
      </w:pPr>
      <w:rPr>
        <w:rFonts w:hint="default"/>
        <w:lang w:val="en-US" w:eastAsia="en-US" w:bidi="ar-SA"/>
      </w:rPr>
    </w:lvl>
    <w:lvl w:ilvl="4">
      <w:numFmt w:val="bullet"/>
      <w:lvlText w:val="•"/>
      <w:lvlJc w:val="left"/>
      <w:pPr>
        <w:ind w:left="4046" w:hanging="600"/>
      </w:pPr>
      <w:rPr>
        <w:rFonts w:hint="default"/>
        <w:lang w:val="en-US" w:eastAsia="en-US" w:bidi="ar-SA"/>
      </w:rPr>
    </w:lvl>
    <w:lvl w:ilvl="5">
      <w:numFmt w:val="bullet"/>
      <w:lvlText w:val="•"/>
      <w:lvlJc w:val="left"/>
      <w:pPr>
        <w:ind w:left="5068" w:hanging="600"/>
      </w:pPr>
      <w:rPr>
        <w:rFonts w:hint="default"/>
        <w:lang w:val="en-US" w:eastAsia="en-US" w:bidi="ar-SA"/>
      </w:rPr>
    </w:lvl>
    <w:lvl w:ilvl="6">
      <w:numFmt w:val="bullet"/>
      <w:lvlText w:val="•"/>
      <w:lvlJc w:val="left"/>
      <w:pPr>
        <w:ind w:left="6091" w:hanging="600"/>
      </w:pPr>
      <w:rPr>
        <w:rFonts w:hint="default"/>
        <w:lang w:val="en-US" w:eastAsia="en-US" w:bidi="ar-SA"/>
      </w:rPr>
    </w:lvl>
    <w:lvl w:ilvl="7">
      <w:numFmt w:val="bullet"/>
      <w:lvlText w:val="•"/>
      <w:lvlJc w:val="left"/>
      <w:pPr>
        <w:ind w:left="7113" w:hanging="600"/>
      </w:pPr>
      <w:rPr>
        <w:rFonts w:hint="default"/>
        <w:lang w:val="en-US" w:eastAsia="en-US" w:bidi="ar-SA"/>
      </w:rPr>
    </w:lvl>
    <w:lvl w:ilvl="8">
      <w:numFmt w:val="bullet"/>
      <w:lvlText w:val="•"/>
      <w:lvlJc w:val="left"/>
      <w:pPr>
        <w:ind w:left="8135" w:hanging="600"/>
      </w:pPr>
      <w:rPr>
        <w:rFonts w:hint="default"/>
        <w:lang w:val="en-US" w:eastAsia="en-US" w:bidi="ar-SA"/>
      </w:rPr>
    </w:lvl>
  </w:abstractNum>
  <w:abstractNum w:abstractNumId="5" w15:restartNumberingAfterBreak="0">
    <w:nsid w:val="1F721929"/>
    <w:multiLevelType w:val="hybridMultilevel"/>
    <w:tmpl w:val="FBFEC4DA"/>
    <w:lvl w:ilvl="0" w:tplc="8F484ECE">
      <w:start w:val="1"/>
      <w:numFmt w:val="decimal"/>
      <w:lvlText w:val="%1."/>
      <w:lvlJc w:val="left"/>
      <w:pPr>
        <w:ind w:left="1100" w:hanging="360"/>
      </w:pPr>
      <w:rPr>
        <w:rFonts w:ascii="Times New Roman" w:eastAsia="Times New Roman" w:hAnsi="Times New Roman" w:cs="Times New Roman" w:hint="default"/>
        <w:b w:val="0"/>
        <w:bCs w:val="0"/>
        <w:i w:val="0"/>
        <w:iCs w:val="0"/>
        <w:color w:val="0D0D0D"/>
        <w:spacing w:val="0"/>
        <w:w w:val="100"/>
        <w:sz w:val="24"/>
        <w:szCs w:val="24"/>
        <w:lang w:val="en-US" w:eastAsia="en-US" w:bidi="ar-SA"/>
      </w:rPr>
    </w:lvl>
    <w:lvl w:ilvl="1" w:tplc="AD1A6A66">
      <w:numFmt w:val="bullet"/>
      <w:lvlText w:val="•"/>
      <w:lvlJc w:val="left"/>
      <w:pPr>
        <w:ind w:left="2008" w:hanging="360"/>
      </w:pPr>
      <w:rPr>
        <w:rFonts w:hint="default"/>
        <w:lang w:val="en-US" w:eastAsia="en-US" w:bidi="ar-SA"/>
      </w:rPr>
    </w:lvl>
    <w:lvl w:ilvl="2" w:tplc="619C2E32">
      <w:numFmt w:val="bullet"/>
      <w:lvlText w:val="•"/>
      <w:lvlJc w:val="left"/>
      <w:pPr>
        <w:ind w:left="2916" w:hanging="360"/>
      </w:pPr>
      <w:rPr>
        <w:rFonts w:hint="default"/>
        <w:lang w:val="en-US" w:eastAsia="en-US" w:bidi="ar-SA"/>
      </w:rPr>
    </w:lvl>
    <w:lvl w:ilvl="3" w:tplc="B26A3176">
      <w:numFmt w:val="bullet"/>
      <w:lvlText w:val="•"/>
      <w:lvlJc w:val="left"/>
      <w:pPr>
        <w:ind w:left="3824" w:hanging="360"/>
      </w:pPr>
      <w:rPr>
        <w:rFonts w:hint="default"/>
        <w:lang w:val="en-US" w:eastAsia="en-US" w:bidi="ar-SA"/>
      </w:rPr>
    </w:lvl>
    <w:lvl w:ilvl="4" w:tplc="EF866716">
      <w:numFmt w:val="bullet"/>
      <w:lvlText w:val="•"/>
      <w:lvlJc w:val="left"/>
      <w:pPr>
        <w:ind w:left="4732" w:hanging="360"/>
      </w:pPr>
      <w:rPr>
        <w:rFonts w:hint="default"/>
        <w:lang w:val="en-US" w:eastAsia="en-US" w:bidi="ar-SA"/>
      </w:rPr>
    </w:lvl>
    <w:lvl w:ilvl="5" w:tplc="2E0CF300">
      <w:numFmt w:val="bullet"/>
      <w:lvlText w:val="•"/>
      <w:lvlJc w:val="left"/>
      <w:pPr>
        <w:ind w:left="5640" w:hanging="360"/>
      </w:pPr>
      <w:rPr>
        <w:rFonts w:hint="default"/>
        <w:lang w:val="en-US" w:eastAsia="en-US" w:bidi="ar-SA"/>
      </w:rPr>
    </w:lvl>
    <w:lvl w:ilvl="6" w:tplc="0CA0BC44">
      <w:numFmt w:val="bullet"/>
      <w:lvlText w:val="•"/>
      <w:lvlJc w:val="left"/>
      <w:pPr>
        <w:ind w:left="6548" w:hanging="360"/>
      </w:pPr>
      <w:rPr>
        <w:rFonts w:hint="default"/>
        <w:lang w:val="en-US" w:eastAsia="en-US" w:bidi="ar-SA"/>
      </w:rPr>
    </w:lvl>
    <w:lvl w:ilvl="7" w:tplc="279AA252">
      <w:numFmt w:val="bullet"/>
      <w:lvlText w:val="•"/>
      <w:lvlJc w:val="left"/>
      <w:pPr>
        <w:ind w:left="7456" w:hanging="360"/>
      </w:pPr>
      <w:rPr>
        <w:rFonts w:hint="default"/>
        <w:lang w:val="en-US" w:eastAsia="en-US" w:bidi="ar-SA"/>
      </w:rPr>
    </w:lvl>
    <w:lvl w:ilvl="8" w:tplc="C0A2BC32">
      <w:numFmt w:val="bullet"/>
      <w:lvlText w:val="•"/>
      <w:lvlJc w:val="left"/>
      <w:pPr>
        <w:ind w:left="8364" w:hanging="360"/>
      </w:pPr>
      <w:rPr>
        <w:rFonts w:hint="default"/>
        <w:lang w:val="en-US" w:eastAsia="en-US" w:bidi="ar-SA"/>
      </w:rPr>
    </w:lvl>
  </w:abstractNum>
  <w:abstractNum w:abstractNumId="6" w15:restartNumberingAfterBreak="0">
    <w:nsid w:val="24C12829"/>
    <w:multiLevelType w:val="hybridMultilevel"/>
    <w:tmpl w:val="D986850A"/>
    <w:lvl w:ilvl="0" w:tplc="631C7EB6">
      <w:start w:val="1"/>
      <w:numFmt w:val="upperLetter"/>
      <w:lvlText w:val="%1."/>
      <w:lvlJc w:val="left"/>
      <w:pPr>
        <w:ind w:left="1100" w:hanging="360"/>
        <w:jc w:val="right"/>
      </w:pPr>
      <w:rPr>
        <w:rFonts w:ascii="Times New Roman" w:eastAsia="Times New Roman" w:hAnsi="Times New Roman" w:cs="Times New Roman" w:hint="default"/>
        <w:b/>
        <w:bCs/>
        <w:i w:val="0"/>
        <w:iCs w:val="0"/>
        <w:color w:val="0D0D0D"/>
        <w:spacing w:val="0"/>
        <w:w w:val="100"/>
        <w:sz w:val="24"/>
        <w:szCs w:val="24"/>
        <w:lang w:val="en-US" w:eastAsia="en-US" w:bidi="ar-SA"/>
      </w:rPr>
    </w:lvl>
    <w:lvl w:ilvl="1" w:tplc="7AC2C598">
      <w:numFmt w:val="bullet"/>
      <w:lvlText w:val="•"/>
      <w:lvlJc w:val="left"/>
      <w:pPr>
        <w:ind w:left="2008" w:hanging="360"/>
      </w:pPr>
      <w:rPr>
        <w:rFonts w:hint="default"/>
        <w:lang w:val="en-US" w:eastAsia="en-US" w:bidi="ar-SA"/>
      </w:rPr>
    </w:lvl>
    <w:lvl w:ilvl="2" w:tplc="F7308628">
      <w:numFmt w:val="bullet"/>
      <w:lvlText w:val="•"/>
      <w:lvlJc w:val="left"/>
      <w:pPr>
        <w:ind w:left="2916" w:hanging="360"/>
      </w:pPr>
      <w:rPr>
        <w:rFonts w:hint="default"/>
        <w:lang w:val="en-US" w:eastAsia="en-US" w:bidi="ar-SA"/>
      </w:rPr>
    </w:lvl>
    <w:lvl w:ilvl="3" w:tplc="22D25EF0">
      <w:numFmt w:val="bullet"/>
      <w:lvlText w:val="•"/>
      <w:lvlJc w:val="left"/>
      <w:pPr>
        <w:ind w:left="3824" w:hanging="360"/>
      </w:pPr>
      <w:rPr>
        <w:rFonts w:hint="default"/>
        <w:lang w:val="en-US" w:eastAsia="en-US" w:bidi="ar-SA"/>
      </w:rPr>
    </w:lvl>
    <w:lvl w:ilvl="4" w:tplc="97703060">
      <w:numFmt w:val="bullet"/>
      <w:lvlText w:val="•"/>
      <w:lvlJc w:val="left"/>
      <w:pPr>
        <w:ind w:left="4732" w:hanging="360"/>
      </w:pPr>
      <w:rPr>
        <w:rFonts w:hint="default"/>
        <w:lang w:val="en-US" w:eastAsia="en-US" w:bidi="ar-SA"/>
      </w:rPr>
    </w:lvl>
    <w:lvl w:ilvl="5" w:tplc="33C6A7DC">
      <w:numFmt w:val="bullet"/>
      <w:lvlText w:val="•"/>
      <w:lvlJc w:val="left"/>
      <w:pPr>
        <w:ind w:left="5640" w:hanging="360"/>
      </w:pPr>
      <w:rPr>
        <w:rFonts w:hint="default"/>
        <w:lang w:val="en-US" w:eastAsia="en-US" w:bidi="ar-SA"/>
      </w:rPr>
    </w:lvl>
    <w:lvl w:ilvl="6" w:tplc="0E82CD7C">
      <w:numFmt w:val="bullet"/>
      <w:lvlText w:val="•"/>
      <w:lvlJc w:val="left"/>
      <w:pPr>
        <w:ind w:left="6548" w:hanging="360"/>
      </w:pPr>
      <w:rPr>
        <w:rFonts w:hint="default"/>
        <w:lang w:val="en-US" w:eastAsia="en-US" w:bidi="ar-SA"/>
      </w:rPr>
    </w:lvl>
    <w:lvl w:ilvl="7" w:tplc="BBD806D2">
      <w:numFmt w:val="bullet"/>
      <w:lvlText w:val="•"/>
      <w:lvlJc w:val="left"/>
      <w:pPr>
        <w:ind w:left="7456" w:hanging="360"/>
      </w:pPr>
      <w:rPr>
        <w:rFonts w:hint="default"/>
        <w:lang w:val="en-US" w:eastAsia="en-US" w:bidi="ar-SA"/>
      </w:rPr>
    </w:lvl>
    <w:lvl w:ilvl="8" w:tplc="110662CA">
      <w:numFmt w:val="bullet"/>
      <w:lvlText w:val="•"/>
      <w:lvlJc w:val="left"/>
      <w:pPr>
        <w:ind w:left="8364" w:hanging="360"/>
      </w:pPr>
      <w:rPr>
        <w:rFonts w:hint="default"/>
        <w:lang w:val="en-US" w:eastAsia="en-US" w:bidi="ar-SA"/>
      </w:rPr>
    </w:lvl>
  </w:abstractNum>
  <w:abstractNum w:abstractNumId="7" w15:restartNumberingAfterBreak="0">
    <w:nsid w:val="2AA41D7E"/>
    <w:multiLevelType w:val="hybridMultilevel"/>
    <w:tmpl w:val="2B64FEE2"/>
    <w:lvl w:ilvl="0" w:tplc="B9D0ECAE">
      <w:numFmt w:val="bullet"/>
      <w:lvlText w:val="●"/>
      <w:lvlJc w:val="left"/>
      <w:pPr>
        <w:ind w:left="470" w:hanging="360"/>
      </w:pPr>
      <w:rPr>
        <w:rFonts w:ascii="Arial" w:eastAsia="Arial" w:hAnsi="Arial" w:cs="Arial" w:hint="default"/>
        <w:b w:val="0"/>
        <w:bCs w:val="0"/>
        <w:i w:val="0"/>
        <w:iCs w:val="0"/>
        <w:color w:val="0D0D0D"/>
        <w:spacing w:val="0"/>
        <w:w w:val="100"/>
        <w:sz w:val="24"/>
        <w:szCs w:val="24"/>
        <w:lang w:val="en-US" w:eastAsia="en-US" w:bidi="ar-SA"/>
      </w:rPr>
    </w:lvl>
    <w:lvl w:ilvl="1" w:tplc="579C5C34">
      <w:numFmt w:val="bullet"/>
      <w:lvlText w:val="•"/>
      <w:lvlJc w:val="left"/>
      <w:pPr>
        <w:ind w:left="1450" w:hanging="360"/>
      </w:pPr>
      <w:rPr>
        <w:rFonts w:hint="default"/>
        <w:lang w:val="en-US" w:eastAsia="en-US" w:bidi="ar-SA"/>
      </w:rPr>
    </w:lvl>
    <w:lvl w:ilvl="2" w:tplc="9ECC8382">
      <w:numFmt w:val="bullet"/>
      <w:lvlText w:val="•"/>
      <w:lvlJc w:val="left"/>
      <w:pPr>
        <w:ind w:left="2420" w:hanging="360"/>
      </w:pPr>
      <w:rPr>
        <w:rFonts w:hint="default"/>
        <w:lang w:val="en-US" w:eastAsia="en-US" w:bidi="ar-SA"/>
      </w:rPr>
    </w:lvl>
    <w:lvl w:ilvl="3" w:tplc="7644B12A">
      <w:numFmt w:val="bullet"/>
      <w:lvlText w:val="•"/>
      <w:lvlJc w:val="left"/>
      <w:pPr>
        <w:ind w:left="3390" w:hanging="360"/>
      </w:pPr>
      <w:rPr>
        <w:rFonts w:hint="default"/>
        <w:lang w:val="en-US" w:eastAsia="en-US" w:bidi="ar-SA"/>
      </w:rPr>
    </w:lvl>
    <w:lvl w:ilvl="4" w:tplc="2A3E0EA4">
      <w:numFmt w:val="bullet"/>
      <w:lvlText w:val="•"/>
      <w:lvlJc w:val="left"/>
      <w:pPr>
        <w:ind w:left="4360" w:hanging="360"/>
      </w:pPr>
      <w:rPr>
        <w:rFonts w:hint="default"/>
        <w:lang w:val="en-US" w:eastAsia="en-US" w:bidi="ar-SA"/>
      </w:rPr>
    </w:lvl>
    <w:lvl w:ilvl="5" w:tplc="E71CB406">
      <w:numFmt w:val="bullet"/>
      <w:lvlText w:val="•"/>
      <w:lvlJc w:val="left"/>
      <w:pPr>
        <w:ind w:left="5330" w:hanging="360"/>
      </w:pPr>
      <w:rPr>
        <w:rFonts w:hint="default"/>
        <w:lang w:val="en-US" w:eastAsia="en-US" w:bidi="ar-SA"/>
      </w:rPr>
    </w:lvl>
    <w:lvl w:ilvl="6" w:tplc="EAE6FB80">
      <w:numFmt w:val="bullet"/>
      <w:lvlText w:val="•"/>
      <w:lvlJc w:val="left"/>
      <w:pPr>
        <w:ind w:left="6300" w:hanging="360"/>
      </w:pPr>
      <w:rPr>
        <w:rFonts w:hint="default"/>
        <w:lang w:val="en-US" w:eastAsia="en-US" w:bidi="ar-SA"/>
      </w:rPr>
    </w:lvl>
    <w:lvl w:ilvl="7" w:tplc="F36282B6">
      <w:numFmt w:val="bullet"/>
      <w:lvlText w:val="•"/>
      <w:lvlJc w:val="left"/>
      <w:pPr>
        <w:ind w:left="7270" w:hanging="360"/>
      </w:pPr>
      <w:rPr>
        <w:rFonts w:hint="default"/>
        <w:lang w:val="en-US" w:eastAsia="en-US" w:bidi="ar-SA"/>
      </w:rPr>
    </w:lvl>
    <w:lvl w:ilvl="8" w:tplc="276E09DC">
      <w:numFmt w:val="bullet"/>
      <w:lvlText w:val="•"/>
      <w:lvlJc w:val="left"/>
      <w:pPr>
        <w:ind w:left="8240" w:hanging="360"/>
      </w:pPr>
      <w:rPr>
        <w:rFonts w:hint="default"/>
        <w:lang w:val="en-US" w:eastAsia="en-US" w:bidi="ar-SA"/>
      </w:rPr>
    </w:lvl>
  </w:abstractNum>
  <w:abstractNum w:abstractNumId="8" w15:restartNumberingAfterBreak="0">
    <w:nsid w:val="4ADF226F"/>
    <w:multiLevelType w:val="hybridMultilevel"/>
    <w:tmpl w:val="52B0B6D4"/>
    <w:lvl w:ilvl="0" w:tplc="6C1E53DC">
      <w:start w:val="1"/>
      <w:numFmt w:val="upperLetter"/>
      <w:lvlText w:val="%1."/>
      <w:lvlJc w:val="left"/>
      <w:pPr>
        <w:ind w:left="380" w:hanging="360"/>
      </w:pPr>
      <w:rPr>
        <w:rFonts w:ascii="Times New Roman" w:eastAsia="Times New Roman" w:hAnsi="Times New Roman" w:cs="Times New Roman" w:hint="default"/>
        <w:b/>
        <w:bCs/>
        <w:i w:val="0"/>
        <w:iCs w:val="0"/>
        <w:spacing w:val="-1"/>
        <w:w w:val="100"/>
        <w:sz w:val="28"/>
        <w:szCs w:val="28"/>
        <w:lang w:val="en-US" w:eastAsia="en-US" w:bidi="ar-SA"/>
      </w:rPr>
    </w:lvl>
    <w:lvl w:ilvl="1" w:tplc="AE5EE0DA">
      <w:numFmt w:val="bullet"/>
      <w:lvlText w:val="•"/>
      <w:lvlJc w:val="left"/>
      <w:pPr>
        <w:ind w:left="1360" w:hanging="360"/>
      </w:pPr>
      <w:rPr>
        <w:rFonts w:hint="default"/>
        <w:lang w:val="en-US" w:eastAsia="en-US" w:bidi="ar-SA"/>
      </w:rPr>
    </w:lvl>
    <w:lvl w:ilvl="2" w:tplc="B48A9A2C">
      <w:numFmt w:val="bullet"/>
      <w:lvlText w:val="•"/>
      <w:lvlJc w:val="left"/>
      <w:pPr>
        <w:ind w:left="2340" w:hanging="360"/>
      </w:pPr>
      <w:rPr>
        <w:rFonts w:hint="default"/>
        <w:lang w:val="en-US" w:eastAsia="en-US" w:bidi="ar-SA"/>
      </w:rPr>
    </w:lvl>
    <w:lvl w:ilvl="3" w:tplc="024A37AC">
      <w:numFmt w:val="bullet"/>
      <w:lvlText w:val="•"/>
      <w:lvlJc w:val="left"/>
      <w:pPr>
        <w:ind w:left="3320" w:hanging="360"/>
      </w:pPr>
      <w:rPr>
        <w:rFonts w:hint="default"/>
        <w:lang w:val="en-US" w:eastAsia="en-US" w:bidi="ar-SA"/>
      </w:rPr>
    </w:lvl>
    <w:lvl w:ilvl="4" w:tplc="3598567E">
      <w:numFmt w:val="bullet"/>
      <w:lvlText w:val="•"/>
      <w:lvlJc w:val="left"/>
      <w:pPr>
        <w:ind w:left="4300" w:hanging="360"/>
      </w:pPr>
      <w:rPr>
        <w:rFonts w:hint="default"/>
        <w:lang w:val="en-US" w:eastAsia="en-US" w:bidi="ar-SA"/>
      </w:rPr>
    </w:lvl>
    <w:lvl w:ilvl="5" w:tplc="A3AC8F50">
      <w:numFmt w:val="bullet"/>
      <w:lvlText w:val="•"/>
      <w:lvlJc w:val="left"/>
      <w:pPr>
        <w:ind w:left="5280" w:hanging="360"/>
      </w:pPr>
      <w:rPr>
        <w:rFonts w:hint="default"/>
        <w:lang w:val="en-US" w:eastAsia="en-US" w:bidi="ar-SA"/>
      </w:rPr>
    </w:lvl>
    <w:lvl w:ilvl="6" w:tplc="74D6A4F8">
      <w:numFmt w:val="bullet"/>
      <w:lvlText w:val="•"/>
      <w:lvlJc w:val="left"/>
      <w:pPr>
        <w:ind w:left="6260" w:hanging="360"/>
      </w:pPr>
      <w:rPr>
        <w:rFonts w:hint="default"/>
        <w:lang w:val="en-US" w:eastAsia="en-US" w:bidi="ar-SA"/>
      </w:rPr>
    </w:lvl>
    <w:lvl w:ilvl="7" w:tplc="4EB61358">
      <w:numFmt w:val="bullet"/>
      <w:lvlText w:val="•"/>
      <w:lvlJc w:val="left"/>
      <w:pPr>
        <w:ind w:left="7240" w:hanging="360"/>
      </w:pPr>
      <w:rPr>
        <w:rFonts w:hint="default"/>
        <w:lang w:val="en-US" w:eastAsia="en-US" w:bidi="ar-SA"/>
      </w:rPr>
    </w:lvl>
    <w:lvl w:ilvl="8" w:tplc="57E44688">
      <w:numFmt w:val="bullet"/>
      <w:lvlText w:val="•"/>
      <w:lvlJc w:val="left"/>
      <w:pPr>
        <w:ind w:left="8220" w:hanging="360"/>
      </w:pPr>
      <w:rPr>
        <w:rFonts w:hint="default"/>
        <w:lang w:val="en-US" w:eastAsia="en-US" w:bidi="ar-SA"/>
      </w:rPr>
    </w:lvl>
  </w:abstractNum>
  <w:abstractNum w:abstractNumId="9" w15:restartNumberingAfterBreak="0">
    <w:nsid w:val="6BE629DC"/>
    <w:multiLevelType w:val="hybridMultilevel"/>
    <w:tmpl w:val="19CE3C36"/>
    <w:lvl w:ilvl="0" w:tplc="5888ED3A">
      <w:start w:val="1"/>
      <w:numFmt w:val="decimal"/>
      <w:lvlText w:val="%1."/>
      <w:lvlJc w:val="left"/>
      <w:pPr>
        <w:ind w:left="1100" w:hanging="360"/>
      </w:pPr>
      <w:rPr>
        <w:rFonts w:ascii="Times New Roman" w:eastAsia="Times New Roman" w:hAnsi="Times New Roman" w:cs="Times New Roman" w:hint="default"/>
        <w:b/>
        <w:bCs/>
        <w:i w:val="0"/>
        <w:iCs w:val="0"/>
        <w:color w:val="0D0D0D"/>
        <w:spacing w:val="0"/>
        <w:w w:val="100"/>
        <w:sz w:val="24"/>
        <w:szCs w:val="24"/>
        <w:lang w:val="en-US" w:eastAsia="en-US" w:bidi="ar-SA"/>
      </w:rPr>
    </w:lvl>
    <w:lvl w:ilvl="1" w:tplc="8696CBDA">
      <w:numFmt w:val="bullet"/>
      <w:lvlText w:val="•"/>
      <w:lvlJc w:val="left"/>
      <w:pPr>
        <w:ind w:left="2008" w:hanging="360"/>
      </w:pPr>
      <w:rPr>
        <w:rFonts w:hint="default"/>
        <w:lang w:val="en-US" w:eastAsia="en-US" w:bidi="ar-SA"/>
      </w:rPr>
    </w:lvl>
    <w:lvl w:ilvl="2" w:tplc="0C26752A">
      <w:numFmt w:val="bullet"/>
      <w:lvlText w:val="•"/>
      <w:lvlJc w:val="left"/>
      <w:pPr>
        <w:ind w:left="2916" w:hanging="360"/>
      </w:pPr>
      <w:rPr>
        <w:rFonts w:hint="default"/>
        <w:lang w:val="en-US" w:eastAsia="en-US" w:bidi="ar-SA"/>
      </w:rPr>
    </w:lvl>
    <w:lvl w:ilvl="3" w:tplc="635A0C06">
      <w:numFmt w:val="bullet"/>
      <w:lvlText w:val="•"/>
      <w:lvlJc w:val="left"/>
      <w:pPr>
        <w:ind w:left="3824" w:hanging="360"/>
      </w:pPr>
      <w:rPr>
        <w:rFonts w:hint="default"/>
        <w:lang w:val="en-US" w:eastAsia="en-US" w:bidi="ar-SA"/>
      </w:rPr>
    </w:lvl>
    <w:lvl w:ilvl="4" w:tplc="C88C1B8E">
      <w:numFmt w:val="bullet"/>
      <w:lvlText w:val="•"/>
      <w:lvlJc w:val="left"/>
      <w:pPr>
        <w:ind w:left="4732" w:hanging="360"/>
      </w:pPr>
      <w:rPr>
        <w:rFonts w:hint="default"/>
        <w:lang w:val="en-US" w:eastAsia="en-US" w:bidi="ar-SA"/>
      </w:rPr>
    </w:lvl>
    <w:lvl w:ilvl="5" w:tplc="8EF4CEE4">
      <w:numFmt w:val="bullet"/>
      <w:lvlText w:val="•"/>
      <w:lvlJc w:val="left"/>
      <w:pPr>
        <w:ind w:left="5640" w:hanging="360"/>
      </w:pPr>
      <w:rPr>
        <w:rFonts w:hint="default"/>
        <w:lang w:val="en-US" w:eastAsia="en-US" w:bidi="ar-SA"/>
      </w:rPr>
    </w:lvl>
    <w:lvl w:ilvl="6" w:tplc="AC20C748">
      <w:numFmt w:val="bullet"/>
      <w:lvlText w:val="•"/>
      <w:lvlJc w:val="left"/>
      <w:pPr>
        <w:ind w:left="6548" w:hanging="360"/>
      </w:pPr>
      <w:rPr>
        <w:rFonts w:hint="default"/>
        <w:lang w:val="en-US" w:eastAsia="en-US" w:bidi="ar-SA"/>
      </w:rPr>
    </w:lvl>
    <w:lvl w:ilvl="7" w:tplc="B8C27914">
      <w:numFmt w:val="bullet"/>
      <w:lvlText w:val="•"/>
      <w:lvlJc w:val="left"/>
      <w:pPr>
        <w:ind w:left="7456" w:hanging="360"/>
      </w:pPr>
      <w:rPr>
        <w:rFonts w:hint="default"/>
        <w:lang w:val="en-US" w:eastAsia="en-US" w:bidi="ar-SA"/>
      </w:rPr>
    </w:lvl>
    <w:lvl w:ilvl="8" w:tplc="72FCA904">
      <w:numFmt w:val="bullet"/>
      <w:lvlText w:val="•"/>
      <w:lvlJc w:val="left"/>
      <w:pPr>
        <w:ind w:left="8364" w:hanging="360"/>
      </w:pPr>
      <w:rPr>
        <w:rFonts w:hint="default"/>
        <w:lang w:val="en-US" w:eastAsia="en-US" w:bidi="ar-SA"/>
      </w:rPr>
    </w:lvl>
  </w:abstractNum>
  <w:num w:numId="1" w16cid:durableId="708072784">
    <w:abstractNumId w:val="1"/>
  </w:num>
  <w:num w:numId="2" w16cid:durableId="1484589727">
    <w:abstractNumId w:val="6"/>
  </w:num>
  <w:num w:numId="3" w16cid:durableId="501627296">
    <w:abstractNumId w:val="8"/>
  </w:num>
  <w:num w:numId="4" w16cid:durableId="1717852149">
    <w:abstractNumId w:val="7"/>
  </w:num>
  <w:num w:numId="5" w16cid:durableId="1615551087">
    <w:abstractNumId w:val="9"/>
  </w:num>
  <w:num w:numId="6" w16cid:durableId="469908577">
    <w:abstractNumId w:val="4"/>
  </w:num>
  <w:num w:numId="7" w16cid:durableId="1777287799">
    <w:abstractNumId w:val="3"/>
  </w:num>
  <w:num w:numId="8" w16cid:durableId="118305251">
    <w:abstractNumId w:val="5"/>
  </w:num>
  <w:num w:numId="9" w16cid:durableId="938248">
    <w:abstractNumId w:val="0"/>
  </w:num>
  <w:num w:numId="10" w16cid:durableId="1053917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490FD7"/>
    <w:rsid w:val="00003568"/>
    <w:rsid w:val="00003EA2"/>
    <w:rsid w:val="00020634"/>
    <w:rsid w:val="00081F2E"/>
    <w:rsid w:val="00093B80"/>
    <w:rsid w:val="000A4F5C"/>
    <w:rsid w:val="000B01EB"/>
    <w:rsid w:val="000D7C3D"/>
    <w:rsid w:val="00120E12"/>
    <w:rsid w:val="00123616"/>
    <w:rsid w:val="00123DE9"/>
    <w:rsid w:val="00130688"/>
    <w:rsid w:val="001414E0"/>
    <w:rsid w:val="00154055"/>
    <w:rsid w:val="001C0B0F"/>
    <w:rsid w:val="001D00CE"/>
    <w:rsid w:val="002377A7"/>
    <w:rsid w:val="00240A74"/>
    <w:rsid w:val="00262E3F"/>
    <w:rsid w:val="0027077E"/>
    <w:rsid w:val="0027754A"/>
    <w:rsid w:val="002A4730"/>
    <w:rsid w:val="002A58BD"/>
    <w:rsid w:val="002B2A4C"/>
    <w:rsid w:val="002C2BB6"/>
    <w:rsid w:val="002C495C"/>
    <w:rsid w:val="002C606B"/>
    <w:rsid w:val="002D3443"/>
    <w:rsid w:val="002F4ABC"/>
    <w:rsid w:val="00300B4A"/>
    <w:rsid w:val="00317F94"/>
    <w:rsid w:val="003274DB"/>
    <w:rsid w:val="00334158"/>
    <w:rsid w:val="00341EB5"/>
    <w:rsid w:val="00345CC1"/>
    <w:rsid w:val="00364942"/>
    <w:rsid w:val="00382F8A"/>
    <w:rsid w:val="0038689F"/>
    <w:rsid w:val="00386950"/>
    <w:rsid w:val="00393A88"/>
    <w:rsid w:val="0039421F"/>
    <w:rsid w:val="003A42ED"/>
    <w:rsid w:val="003A6AB6"/>
    <w:rsid w:val="00443508"/>
    <w:rsid w:val="00464096"/>
    <w:rsid w:val="00484F70"/>
    <w:rsid w:val="00490FD7"/>
    <w:rsid w:val="004B17F1"/>
    <w:rsid w:val="004E1521"/>
    <w:rsid w:val="004F3376"/>
    <w:rsid w:val="00503F5D"/>
    <w:rsid w:val="00511282"/>
    <w:rsid w:val="00536E22"/>
    <w:rsid w:val="00560BD5"/>
    <w:rsid w:val="0056551D"/>
    <w:rsid w:val="00582032"/>
    <w:rsid w:val="005A45CF"/>
    <w:rsid w:val="005B5DA5"/>
    <w:rsid w:val="005C2297"/>
    <w:rsid w:val="005F72E4"/>
    <w:rsid w:val="00600EA8"/>
    <w:rsid w:val="00601A97"/>
    <w:rsid w:val="006032BA"/>
    <w:rsid w:val="006118E1"/>
    <w:rsid w:val="00623E71"/>
    <w:rsid w:val="006611D5"/>
    <w:rsid w:val="00694578"/>
    <w:rsid w:val="006D1AB7"/>
    <w:rsid w:val="006E3E01"/>
    <w:rsid w:val="006E6CBA"/>
    <w:rsid w:val="006F4AC6"/>
    <w:rsid w:val="00781816"/>
    <w:rsid w:val="007A1373"/>
    <w:rsid w:val="007F1B72"/>
    <w:rsid w:val="00812AC1"/>
    <w:rsid w:val="00845797"/>
    <w:rsid w:val="00856C96"/>
    <w:rsid w:val="00866667"/>
    <w:rsid w:val="00876AAC"/>
    <w:rsid w:val="008809DD"/>
    <w:rsid w:val="00890C05"/>
    <w:rsid w:val="00892EA2"/>
    <w:rsid w:val="008A5EEB"/>
    <w:rsid w:val="008B2702"/>
    <w:rsid w:val="008C0B68"/>
    <w:rsid w:val="008E1E5D"/>
    <w:rsid w:val="009101F7"/>
    <w:rsid w:val="00920D52"/>
    <w:rsid w:val="00942925"/>
    <w:rsid w:val="00960FB1"/>
    <w:rsid w:val="00973B06"/>
    <w:rsid w:val="00980A7D"/>
    <w:rsid w:val="00987FCC"/>
    <w:rsid w:val="00992166"/>
    <w:rsid w:val="00A43E79"/>
    <w:rsid w:val="00A6286E"/>
    <w:rsid w:val="00A62CFF"/>
    <w:rsid w:val="00AA5CFD"/>
    <w:rsid w:val="00AE133A"/>
    <w:rsid w:val="00B405AD"/>
    <w:rsid w:val="00B4254C"/>
    <w:rsid w:val="00B45981"/>
    <w:rsid w:val="00B50980"/>
    <w:rsid w:val="00B547DC"/>
    <w:rsid w:val="00B67E77"/>
    <w:rsid w:val="00B81B29"/>
    <w:rsid w:val="00B8241C"/>
    <w:rsid w:val="00B870EB"/>
    <w:rsid w:val="00BB2091"/>
    <w:rsid w:val="00BF7C73"/>
    <w:rsid w:val="00C15D53"/>
    <w:rsid w:val="00C17697"/>
    <w:rsid w:val="00C520AB"/>
    <w:rsid w:val="00C71278"/>
    <w:rsid w:val="00C958FD"/>
    <w:rsid w:val="00C969AB"/>
    <w:rsid w:val="00CB42B7"/>
    <w:rsid w:val="00CB70CC"/>
    <w:rsid w:val="00CC1E6C"/>
    <w:rsid w:val="00D12BBE"/>
    <w:rsid w:val="00D15830"/>
    <w:rsid w:val="00D203D1"/>
    <w:rsid w:val="00D32086"/>
    <w:rsid w:val="00D43164"/>
    <w:rsid w:val="00D50196"/>
    <w:rsid w:val="00D51C70"/>
    <w:rsid w:val="00D5313F"/>
    <w:rsid w:val="00D62D19"/>
    <w:rsid w:val="00D76412"/>
    <w:rsid w:val="00DD6A37"/>
    <w:rsid w:val="00DE4DA5"/>
    <w:rsid w:val="00DE6F52"/>
    <w:rsid w:val="00E12F6A"/>
    <w:rsid w:val="00E213AB"/>
    <w:rsid w:val="00E227FD"/>
    <w:rsid w:val="00E25E30"/>
    <w:rsid w:val="00E315C9"/>
    <w:rsid w:val="00E376DF"/>
    <w:rsid w:val="00E46432"/>
    <w:rsid w:val="00E70EB6"/>
    <w:rsid w:val="00E93890"/>
    <w:rsid w:val="00EC6F47"/>
    <w:rsid w:val="00ED364F"/>
    <w:rsid w:val="00ED6567"/>
    <w:rsid w:val="00EE6D23"/>
    <w:rsid w:val="00EE7629"/>
    <w:rsid w:val="00F35F5D"/>
    <w:rsid w:val="00F73877"/>
    <w:rsid w:val="00FB3980"/>
    <w:rsid w:val="00FB63DD"/>
    <w:rsid w:val="00FD72A7"/>
    <w:rsid w:val="00FE26D9"/>
    <w:rsid w:val="00FE5C6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E51527"/>
  <w15:docId w15:val="{7735024C-B5D0-4CB7-B9AF-B725E39DA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87"/>
      <w:ind w:left="380"/>
      <w:outlineLvl w:val="0"/>
    </w:pPr>
    <w:rPr>
      <w:b/>
      <w:bCs/>
      <w:sz w:val="36"/>
      <w:szCs w:val="36"/>
    </w:rPr>
  </w:style>
  <w:style w:type="paragraph" w:styleId="Heading2">
    <w:name w:val="heading 2"/>
    <w:basedOn w:val="Normal"/>
    <w:uiPriority w:val="9"/>
    <w:unhideWhenUsed/>
    <w:qFormat/>
    <w:pPr>
      <w:spacing w:before="287"/>
      <w:ind w:left="380"/>
      <w:outlineLvl w:val="1"/>
    </w:pPr>
    <w:rPr>
      <w:b/>
      <w:bCs/>
      <w:sz w:val="30"/>
      <w:szCs w:val="30"/>
    </w:rPr>
  </w:style>
  <w:style w:type="paragraph" w:styleId="Heading3">
    <w:name w:val="heading 3"/>
    <w:basedOn w:val="Normal"/>
    <w:uiPriority w:val="9"/>
    <w:unhideWhenUsed/>
    <w:qFormat/>
    <w:pPr>
      <w:spacing w:before="62"/>
      <w:ind w:left="380"/>
      <w:outlineLvl w:val="2"/>
    </w:pPr>
    <w:rPr>
      <w:b/>
      <w:bCs/>
      <w:sz w:val="28"/>
      <w:szCs w:val="28"/>
    </w:rPr>
  </w:style>
  <w:style w:type="paragraph" w:styleId="Heading4">
    <w:name w:val="heading 4"/>
    <w:basedOn w:val="Normal"/>
    <w:uiPriority w:val="9"/>
    <w:unhideWhenUsed/>
    <w:qFormat/>
    <w:pPr>
      <w:spacing w:before="287"/>
      <w:ind w:left="866" w:hanging="486"/>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122"/>
      <w:ind w:left="224" w:right="642"/>
      <w:jc w:val="center"/>
    </w:pPr>
    <w:rPr>
      <w:b/>
      <w:bCs/>
      <w:sz w:val="38"/>
      <w:szCs w:val="38"/>
    </w:rPr>
  </w:style>
  <w:style w:type="paragraph" w:styleId="ListParagraph">
    <w:name w:val="List Paragraph"/>
    <w:basedOn w:val="Normal"/>
    <w:uiPriority w:val="1"/>
    <w:qFormat/>
    <w:pPr>
      <w:ind w:left="866" w:hanging="486"/>
    </w:pPr>
  </w:style>
  <w:style w:type="paragraph" w:customStyle="1" w:styleId="TableParagraph">
    <w:name w:val="Table Paragraph"/>
    <w:basedOn w:val="Normal"/>
    <w:uiPriority w:val="1"/>
    <w:qFormat/>
    <w:pPr>
      <w:spacing w:before="108"/>
    </w:pPr>
  </w:style>
  <w:style w:type="paragraph" w:styleId="Header">
    <w:name w:val="header"/>
    <w:basedOn w:val="Normal"/>
    <w:link w:val="HeaderChar"/>
    <w:uiPriority w:val="99"/>
    <w:unhideWhenUsed/>
    <w:rsid w:val="007F1B72"/>
    <w:pPr>
      <w:tabs>
        <w:tab w:val="center" w:pos="4513"/>
        <w:tab w:val="right" w:pos="9026"/>
      </w:tabs>
    </w:pPr>
  </w:style>
  <w:style w:type="character" w:customStyle="1" w:styleId="HeaderChar">
    <w:name w:val="Header Char"/>
    <w:basedOn w:val="DefaultParagraphFont"/>
    <w:link w:val="Header"/>
    <w:uiPriority w:val="99"/>
    <w:rsid w:val="007F1B72"/>
    <w:rPr>
      <w:rFonts w:ascii="Times New Roman" w:eastAsia="Times New Roman" w:hAnsi="Times New Roman" w:cs="Times New Roman"/>
    </w:rPr>
  </w:style>
  <w:style w:type="paragraph" w:styleId="Footer">
    <w:name w:val="footer"/>
    <w:basedOn w:val="Normal"/>
    <w:link w:val="FooterChar"/>
    <w:uiPriority w:val="99"/>
    <w:unhideWhenUsed/>
    <w:rsid w:val="007F1B72"/>
    <w:pPr>
      <w:tabs>
        <w:tab w:val="center" w:pos="4513"/>
        <w:tab w:val="right" w:pos="9026"/>
      </w:tabs>
    </w:pPr>
  </w:style>
  <w:style w:type="character" w:customStyle="1" w:styleId="FooterChar">
    <w:name w:val="Footer Char"/>
    <w:basedOn w:val="DefaultParagraphFont"/>
    <w:link w:val="Footer"/>
    <w:uiPriority w:val="99"/>
    <w:rsid w:val="007F1B72"/>
    <w:rPr>
      <w:rFonts w:ascii="Times New Roman" w:eastAsia="Times New Roman" w:hAnsi="Times New Roman" w:cs="Times New Roman"/>
    </w:rPr>
  </w:style>
  <w:style w:type="paragraph" w:styleId="FootnoteText">
    <w:name w:val="footnote text"/>
    <w:basedOn w:val="Normal"/>
    <w:link w:val="FootnoteTextChar"/>
    <w:uiPriority w:val="99"/>
    <w:semiHidden/>
    <w:unhideWhenUsed/>
    <w:rsid w:val="00FB63DD"/>
    <w:rPr>
      <w:sz w:val="20"/>
      <w:szCs w:val="20"/>
    </w:rPr>
  </w:style>
  <w:style w:type="character" w:customStyle="1" w:styleId="FootnoteTextChar">
    <w:name w:val="Footnote Text Char"/>
    <w:basedOn w:val="DefaultParagraphFont"/>
    <w:link w:val="FootnoteText"/>
    <w:uiPriority w:val="99"/>
    <w:semiHidden/>
    <w:rsid w:val="00FB63DD"/>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B63DD"/>
    <w:rPr>
      <w:vertAlign w:val="superscript"/>
    </w:rPr>
  </w:style>
  <w:style w:type="character" w:styleId="PlaceholderText">
    <w:name w:val="Placeholder Text"/>
    <w:basedOn w:val="DefaultParagraphFont"/>
    <w:uiPriority w:val="99"/>
    <w:semiHidden/>
    <w:rsid w:val="000D7C3D"/>
    <w:rPr>
      <w:color w:val="666666"/>
    </w:rPr>
  </w:style>
  <w:style w:type="table" w:styleId="TableGrid">
    <w:name w:val="Table Grid"/>
    <w:basedOn w:val="TableNormal"/>
    <w:uiPriority w:val="39"/>
    <w:rsid w:val="00FE5C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B42B7"/>
    <w:rPr>
      <w:rFonts w:ascii="Times New Roman" w:eastAsia="Times New Roman" w:hAnsi="Times New Roman" w:cs="Times New Roman"/>
    </w:rPr>
  </w:style>
  <w:style w:type="table" w:styleId="PlainTable1">
    <w:name w:val="Plain Table 1"/>
    <w:basedOn w:val="TableNormal"/>
    <w:uiPriority w:val="41"/>
    <w:rsid w:val="00CB42B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aption">
    <w:name w:val="caption"/>
    <w:basedOn w:val="Normal"/>
    <w:next w:val="Normal"/>
    <w:uiPriority w:val="35"/>
    <w:unhideWhenUsed/>
    <w:qFormat/>
    <w:rsid w:val="005F72E4"/>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016829">
      <w:bodyDiv w:val="1"/>
      <w:marLeft w:val="0"/>
      <w:marRight w:val="0"/>
      <w:marTop w:val="0"/>
      <w:marBottom w:val="0"/>
      <w:divBdr>
        <w:top w:val="none" w:sz="0" w:space="0" w:color="auto"/>
        <w:left w:val="none" w:sz="0" w:space="0" w:color="auto"/>
        <w:bottom w:val="none" w:sz="0" w:space="0" w:color="auto"/>
        <w:right w:val="none" w:sz="0" w:space="0" w:color="auto"/>
      </w:divBdr>
    </w:div>
    <w:div w:id="462578487">
      <w:bodyDiv w:val="1"/>
      <w:marLeft w:val="0"/>
      <w:marRight w:val="0"/>
      <w:marTop w:val="0"/>
      <w:marBottom w:val="0"/>
      <w:divBdr>
        <w:top w:val="none" w:sz="0" w:space="0" w:color="auto"/>
        <w:left w:val="none" w:sz="0" w:space="0" w:color="auto"/>
        <w:bottom w:val="none" w:sz="0" w:space="0" w:color="auto"/>
        <w:right w:val="none" w:sz="0" w:space="0" w:color="auto"/>
      </w:divBdr>
    </w:div>
    <w:div w:id="559832302">
      <w:bodyDiv w:val="1"/>
      <w:marLeft w:val="0"/>
      <w:marRight w:val="0"/>
      <w:marTop w:val="0"/>
      <w:marBottom w:val="0"/>
      <w:divBdr>
        <w:top w:val="none" w:sz="0" w:space="0" w:color="auto"/>
        <w:left w:val="none" w:sz="0" w:space="0" w:color="auto"/>
        <w:bottom w:val="none" w:sz="0" w:space="0" w:color="auto"/>
        <w:right w:val="none" w:sz="0" w:space="0" w:color="auto"/>
      </w:divBdr>
    </w:div>
    <w:div w:id="582643078">
      <w:bodyDiv w:val="1"/>
      <w:marLeft w:val="0"/>
      <w:marRight w:val="0"/>
      <w:marTop w:val="0"/>
      <w:marBottom w:val="0"/>
      <w:divBdr>
        <w:top w:val="none" w:sz="0" w:space="0" w:color="auto"/>
        <w:left w:val="none" w:sz="0" w:space="0" w:color="auto"/>
        <w:bottom w:val="none" w:sz="0" w:space="0" w:color="auto"/>
        <w:right w:val="none" w:sz="0" w:space="0" w:color="auto"/>
      </w:divBdr>
    </w:div>
    <w:div w:id="634454046">
      <w:bodyDiv w:val="1"/>
      <w:marLeft w:val="0"/>
      <w:marRight w:val="0"/>
      <w:marTop w:val="0"/>
      <w:marBottom w:val="0"/>
      <w:divBdr>
        <w:top w:val="none" w:sz="0" w:space="0" w:color="auto"/>
        <w:left w:val="none" w:sz="0" w:space="0" w:color="auto"/>
        <w:bottom w:val="none" w:sz="0" w:space="0" w:color="auto"/>
        <w:right w:val="none" w:sz="0" w:space="0" w:color="auto"/>
      </w:divBdr>
    </w:div>
    <w:div w:id="799496778">
      <w:bodyDiv w:val="1"/>
      <w:marLeft w:val="0"/>
      <w:marRight w:val="0"/>
      <w:marTop w:val="0"/>
      <w:marBottom w:val="0"/>
      <w:divBdr>
        <w:top w:val="none" w:sz="0" w:space="0" w:color="auto"/>
        <w:left w:val="none" w:sz="0" w:space="0" w:color="auto"/>
        <w:bottom w:val="none" w:sz="0" w:space="0" w:color="auto"/>
        <w:right w:val="none" w:sz="0" w:space="0" w:color="auto"/>
      </w:divBdr>
    </w:div>
    <w:div w:id="820465336">
      <w:bodyDiv w:val="1"/>
      <w:marLeft w:val="0"/>
      <w:marRight w:val="0"/>
      <w:marTop w:val="0"/>
      <w:marBottom w:val="0"/>
      <w:divBdr>
        <w:top w:val="none" w:sz="0" w:space="0" w:color="auto"/>
        <w:left w:val="none" w:sz="0" w:space="0" w:color="auto"/>
        <w:bottom w:val="none" w:sz="0" w:space="0" w:color="auto"/>
        <w:right w:val="none" w:sz="0" w:space="0" w:color="auto"/>
      </w:divBdr>
    </w:div>
    <w:div w:id="1169558051">
      <w:bodyDiv w:val="1"/>
      <w:marLeft w:val="0"/>
      <w:marRight w:val="0"/>
      <w:marTop w:val="0"/>
      <w:marBottom w:val="0"/>
      <w:divBdr>
        <w:top w:val="none" w:sz="0" w:space="0" w:color="auto"/>
        <w:left w:val="none" w:sz="0" w:space="0" w:color="auto"/>
        <w:bottom w:val="none" w:sz="0" w:space="0" w:color="auto"/>
        <w:right w:val="none" w:sz="0" w:space="0" w:color="auto"/>
      </w:divBdr>
    </w:div>
    <w:div w:id="1204177833">
      <w:bodyDiv w:val="1"/>
      <w:marLeft w:val="0"/>
      <w:marRight w:val="0"/>
      <w:marTop w:val="0"/>
      <w:marBottom w:val="0"/>
      <w:divBdr>
        <w:top w:val="none" w:sz="0" w:space="0" w:color="auto"/>
        <w:left w:val="none" w:sz="0" w:space="0" w:color="auto"/>
        <w:bottom w:val="none" w:sz="0" w:space="0" w:color="auto"/>
        <w:right w:val="none" w:sz="0" w:space="0" w:color="auto"/>
      </w:divBdr>
    </w:div>
    <w:div w:id="1210533101">
      <w:bodyDiv w:val="1"/>
      <w:marLeft w:val="0"/>
      <w:marRight w:val="0"/>
      <w:marTop w:val="0"/>
      <w:marBottom w:val="0"/>
      <w:divBdr>
        <w:top w:val="none" w:sz="0" w:space="0" w:color="auto"/>
        <w:left w:val="none" w:sz="0" w:space="0" w:color="auto"/>
        <w:bottom w:val="none" w:sz="0" w:space="0" w:color="auto"/>
        <w:right w:val="none" w:sz="0" w:space="0" w:color="auto"/>
      </w:divBdr>
    </w:div>
    <w:div w:id="1634560722">
      <w:bodyDiv w:val="1"/>
      <w:marLeft w:val="0"/>
      <w:marRight w:val="0"/>
      <w:marTop w:val="0"/>
      <w:marBottom w:val="0"/>
      <w:divBdr>
        <w:top w:val="none" w:sz="0" w:space="0" w:color="auto"/>
        <w:left w:val="none" w:sz="0" w:space="0" w:color="auto"/>
        <w:bottom w:val="none" w:sz="0" w:space="0" w:color="auto"/>
        <w:right w:val="none" w:sz="0" w:space="0" w:color="auto"/>
      </w:divBdr>
    </w:div>
    <w:div w:id="2115324420">
      <w:bodyDiv w:val="1"/>
      <w:marLeft w:val="0"/>
      <w:marRight w:val="0"/>
      <w:marTop w:val="0"/>
      <w:marBottom w:val="0"/>
      <w:divBdr>
        <w:top w:val="none" w:sz="0" w:space="0" w:color="auto"/>
        <w:left w:val="none" w:sz="0" w:space="0" w:color="auto"/>
        <w:bottom w:val="none" w:sz="0" w:space="0" w:color="auto"/>
        <w:right w:val="none" w:sz="0" w:space="0" w:color="auto"/>
      </w:divBdr>
    </w:div>
    <w:div w:id="21418484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B4A588-9791-4244-B003-83F620483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9321</TotalTime>
  <Pages>20</Pages>
  <Words>6271</Words>
  <Characters>35747</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Kanishka Kacker</dc:creator>
  <cp:keywords/>
  <dc:description/>
  <cp:lastModifiedBy>Kanishka Kacker</cp:lastModifiedBy>
  <cp:revision>21</cp:revision>
  <dcterms:created xsi:type="dcterms:W3CDTF">2024-08-09T09:17:00Z</dcterms:created>
  <dcterms:modified xsi:type="dcterms:W3CDTF">2025-03-31T06:37:00Z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2024-08-09T00:00:00Z</vt:filetime>
  </property>
  <property fmtid="{D5CDD505-2E9C-101B-9397-08002B2CF9AE}" pid="3" name="Producer">
    <vt:lpwstr>iLovePDF</vt:lpwstr>
  </property>
</Properties>
</file>